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5589D" w14:textId="77777777" w:rsidR="00E52B8A" w:rsidRDefault="00746F53">
      <w:pPr>
        <w:spacing w:after="200"/>
        <w:ind w:left="1" w:hanging="3"/>
        <w:jc w:val="center"/>
        <w:rPr>
          <w:rFonts w:ascii="Arial Narrow" w:eastAsia="Arial Narrow" w:hAnsi="Arial Narrow" w:cs="Arial Narrow"/>
          <w:sz w:val="32"/>
          <w:szCs w:val="32"/>
        </w:rPr>
      </w:pPr>
      <w:bookmarkStart w:id="0" w:name="_heading=h.gjdgxs" w:colFirst="0" w:colLast="0"/>
      <w:bookmarkEnd w:id="0"/>
      <w:r>
        <w:rPr>
          <w:rFonts w:ascii="Arial Narrow" w:eastAsia="Arial Narrow" w:hAnsi="Arial Narrow" w:cs="Arial Narrow"/>
          <w:b/>
          <w:sz w:val="32"/>
          <w:szCs w:val="32"/>
        </w:rPr>
        <w:t>LINEAMIENTOS PARA INTEGRAR EL ENFOQUE APROPIACIÓN SOCIAL DEL CONOCIMIENTO.</w:t>
      </w:r>
    </w:p>
    <w:p w14:paraId="3D2566E3" w14:textId="77777777" w:rsidR="00E52B8A" w:rsidRDefault="00E52B8A">
      <w:pPr>
        <w:ind w:left="0" w:hanging="2"/>
      </w:pPr>
    </w:p>
    <w:p w14:paraId="5EE8E2DD" w14:textId="77777777" w:rsidR="00E52B8A" w:rsidRDefault="00746F53">
      <w:pPr>
        <w:keepLines/>
        <w:shd w:val="clear" w:color="auto" w:fill="3366CC"/>
        <w:spacing w:line="259" w:lineRule="auto"/>
        <w:ind w:left="0" w:hanging="2"/>
        <w:jc w:val="both"/>
        <w:rPr>
          <w:rFonts w:ascii="Arial Narrow" w:eastAsia="Arial Narrow" w:hAnsi="Arial Narrow" w:cs="Arial Narrow"/>
        </w:rPr>
      </w:pPr>
      <w:r>
        <w:rPr>
          <w:rFonts w:ascii="Arial Narrow" w:eastAsia="Arial Narrow" w:hAnsi="Arial Narrow" w:cs="Arial Narrow"/>
        </w:rPr>
        <w:t>Tabla de contenido</w:t>
      </w:r>
    </w:p>
    <w:p w14:paraId="27540E4E" w14:textId="422BCBBB" w:rsidR="00E52B8A" w:rsidRDefault="00746F53">
      <w:pPr>
        <w:pStyle w:val="Ttulo1"/>
      </w:pPr>
      <w:r>
        <w:t xml:space="preserve">APROPIACIÓN SOCIAL DEL CONOCIMIENTO DESDE LA POLÍTICA PÚBLICA </w:t>
      </w:r>
      <w:r>
        <w:tab/>
      </w:r>
      <w:r>
        <w:tab/>
      </w:r>
      <w:r>
        <w:tab/>
      </w:r>
      <w:r>
        <w:tab/>
        <w:t xml:space="preserve">         </w:t>
      </w:r>
    </w:p>
    <w:p w14:paraId="5EB58DE4" w14:textId="4636FC6F" w:rsidR="00E52B8A" w:rsidRDefault="00746F53">
      <w:pPr>
        <w:pStyle w:val="Ttulo1"/>
      </w:pPr>
      <w:r>
        <w:t>PRINCIPIOS</w:t>
      </w:r>
      <w:r>
        <w:tab/>
      </w:r>
      <w:r>
        <w:tab/>
      </w:r>
      <w:r>
        <w:tab/>
      </w:r>
      <w:r>
        <w:tab/>
      </w:r>
      <w:r>
        <w:tab/>
      </w:r>
      <w:r>
        <w:tab/>
      </w:r>
      <w:r>
        <w:tab/>
      </w:r>
      <w:r>
        <w:tab/>
      </w:r>
      <w:r>
        <w:tab/>
      </w:r>
      <w:r>
        <w:tab/>
        <w:t xml:space="preserve">           </w:t>
      </w:r>
      <w:r>
        <w:tab/>
        <w:t xml:space="preserve">         </w:t>
      </w:r>
    </w:p>
    <w:p w14:paraId="76114F92" w14:textId="102FDE8A" w:rsidR="00E52B8A" w:rsidRDefault="00746F53">
      <w:pPr>
        <w:pStyle w:val="Ttulo1"/>
      </w:pPr>
      <w:r>
        <w:t>ESCENARIOS DE PARTICIPACIÓN</w:t>
      </w:r>
      <w:r>
        <w:tab/>
      </w:r>
      <w:r>
        <w:tab/>
      </w:r>
      <w:r>
        <w:tab/>
      </w:r>
      <w:r>
        <w:tab/>
      </w:r>
      <w:r>
        <w:tab/>
      </w:r>
      <w:r>
        <w:tab/>
      </w:r>
      <w:r>
        <w:tab/>
      </w:r>
      <w:r>
        <w:tab/>
      </w:r>
      <w:r>
        <w:tab/>
        <w:t xml:space="preserve">         </w:t>
      </w:r>
    </w:p>
    <w:p w14:paraId="11269BE3" w14:textId="1AA12C46" w:rsidR="00E52B8A" w:rsidRDefault="00746F53">
      <w:pPr>
        <w:pStyle w:val="Ttulo1"/>
      </w:pPr>
      <w:r>
        <w:t>CONSIDERACIONES METODOLÓGICAS PARA PROYECTOS DE APROPIACIÓN SOCIAL DEL CONOCIMIENTO</w:t>
      </w:r>
      <w:r>
        <w:tab/>
        <w:t xml:space="preserve">         </w:t>
      </w:r>
    </w:p>
    <w:p w14:paraId="11371315" w14:textId="22699C6A" w:rsidR="00E52B8A" w:rsidRDefault="00746F53">
      <w:pPr>
        <w:pStyle w:val="Ttulo1"/>
      </w:pPr>
      <w:r>
        <w:t>EVIDENCIAS DEL PROCESO</w:t>
      </w:r>
      <w:r>
        <w:tab/>
      </w:r>
      <w:r>
        <w:tab/>
      </w:r>
      <w:r>
        <w:tab/>
      </w:r>
      <w:r>
        <w:tab/>
      </w:r>
      <w:r>
        <w:tab/>
      </w:r>
      <w:r>
        <w:tab/>
      </w:r>
      <w:r>
        <w:tab/>
      </w:r>
      <w:r>
        <w:tab/>
      </w:r>
      <w:r>
        <w:tab/>
        <w:t xml:space="preserve">         </w:t>
      </w:r>
    </w:p>
    <w:p w14:paraId="08E3C847" w14:textId="16C11014" w:rsidR="00E52B8A" w:rsidRDefault="00746F53">
      <w:pPr>
        <w:pStyle w:val="Ttulo1"/>
      </w:pPr>
      <w:r>
        <w:t>PRODUCTOS DEL MODELO</w:t>
      </w:r>
      <w:r>
        <w:tab/>
      </w:r>
      <w:r>
        <w:tab/>
      </w:r>
      <w:r>
        <w:tab/>
      </w:r>
      <w:r>
        <w:tab/>
      </w:r>
      <w:r>
        <w:tab/>
      </w:r>
      <w:r>
        <w:tab/>
      </w:r>
      <w:r>
        <w:tab/>
      </w:r>
      <w:r>
        <w:tab/>
      </w:r>
      <w:r>
        <w:tab/>
        <w:t xml:space="preserve">         </w:t>
      </w:r>
    </w:p>
    <w:p w14:paraId="2586EF63" w14:textId="1E4C1B0E" w:rsidR="00E52B8A" w:rsidRDefault="00746F53">
      <w:pPr>
        <w:pStyle w:val="Ttulo1"/>
      </w:pPr>
      <w:r>
        <w:t>BIBLIOGRAFÍA</w:t>
      </w:r>
      <w:r>
        <w:tab/>
      </w:r>
      <w:r>
        <w:tab/>
      </w:r>
      <w:r>
        <w:tab/>
      </w:r>
      <w:r>
        <w:tab/>
      </w:r>
      <w:r>
        <w:tab/>
      </w:r>
      <w:r>
        <w:tab/>
      </w:r>
      <w:r>
        <w:tab/>
      </w:r>
      <w:r>
        <w:tab/>
      </w:r>
      <w:r>
        <w:tab/>
      </w:r>
      <w:r>
        <w:tab/>
      </w:r>
      <w:r>
        <w:tab/>
        <w:t xml:space="preserve">         </w:t>
      </w:r>
    </w:p>
    <w:p w14:paraId="449A6728" w14:textId="77777777" w:rsidR="00E52B8A" w:rsidRDefault="00E52B8A" w:rsidP="004A261D">
      <w:pPr>
        <w:pStyle w:val="Ttulo1"/>
        <w:numPr>
          <w:ilvl w:val="0"/>
          <w:numId w:val="0"/>
        </w:numPr>
      </w:pPr>
    </w:p>
    <w:p w14:paraId="72743A3A" w14:textId="77777777" w:rsidR="00E52B8A" w:rsidRDefault="00E52B8A" w:rsidP="004A261D">
      <w:pPr>
        <w:pStyle w:val="Ttulo1"/>
        <w:numPr>
          <w:ilvl w:val="0"/>
          <w:numId w:val="0"/>
        </w:numPr>
      </w:pPr>
      <w:bookmarkStart w:id="1" w:name="_heading=h.v9yr3msm99t9" w:colFirst="0" w:colLast="0"/>
      <w:bookmarkEnd w:id="1"/>
    </w:p>
    <w:p w14:paraId="6FEAB4F5" w14:textId="77777777" w:rsidR="00E52B8A" w:rsidRDefault="00E52B8A">
      <w:pPr>
        <w:ind w:left="0" w:hanging="2"/>
      </w:pPr>
    </w:p>
    <w:p w14:paraId="1A2D1ECE" w14:textId="77777777" w:rsidR="00E52B8A" w:rsidRDefault="00E52B8A">
      <w:pPr>
        <w:ind w:left="0" w:hanging="2"/>
      </w:pPr>
    </w:p>
    <w:p w14:paraId="50038BCB"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 xml:space="preserve">La Política Pública de Apropiación Social del Conocimiento (ASC) en el marco de la CTeI, establece condiciones que permitan la democratización de la ciencia y la construcción de una sociedad basada en el conocimiento. Aúna esfuerzos para involucrar a los ciudadanos en asuntos de CTeI, promoviendo los principios de crear reflexión crítica en el desarrollo y uso de tecnologías, procesos de diálogo de saberes de conocimientos formales y tradicionales. De otro lado, es un llamado a la producción de conocimiento para que sea más pertinente en los contextos, busque una participación activa de diversos actores, genere procesos profundos de transformación para el cierre de brechas. Este documento vincula los principales documentos referentes en términos de apropiación al momento de integrar este enfoque en los proyectos y brinda un marco de referencia que permita la comprensión de estos conceptos de una manera más clara. </w:t>
      </w:r>
    </w:p>
    <w:p w14:paraId="3316C51C" w14:textId="77777777" w:rsidR="00E52B8A" w:rsidRDefault="00E52B8A">
      <w:pPr>
        <w:ind w:left="0" w:hanging="2"/>
        <w:jc w:val="both"/>
        <w:rPr>
          <w:rFonts w:ascii="Arial Narrow" w:eastAsia="Arial Narrow" w:hAnsi="Arial Narrow" w:cs="Arial Narrow"/>
        </w:rPr>
      </w:pPr>
    </w:p>
    <w:p w14:paraId="0B949F43"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 xml:space="preserve">Si bien la política establece 5 líneas estratégicas para el cumplimiento de sus objetivos y es mucho más amplia, este documento tiene un alcance limitado que tomará algunas de las acciones puntuales allí planteadas que puedan ser implementadas en proyectos de diversas áreas del conocimiento y que busquen incorporar el enfoque de Apropiación Social del Conocimiento en sus metodologías y prácticas. </w:t>
      </w:r>
    </w:p>
    <w:p w14:paraId="5FAE89E1" w14:textId="77777777" w:rsidR="00E52B8A" w:rsidRDefault="00E52B8A">
      <w:pPr>
        <w:ind w:left="0" w:hanging="2"/>
        <w:jc w:val="both"/>
        <w:rPr>
          <w:rFonts w:ascii="Arial Narrow" w:eastAsia="Arial Narrow" w:hAnsi="Arial Narrow" w:cs="Arial Narrow"/>
        </w:rPr>
      </w:pPr>
    </w:p>
    <w:p w14:paraId="45EC73F3"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 xml:space="preserve">Objetivo: </w:t>
      </w:r>
    </w:p>
    <w:p w14:paraId="1B290ABF"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rPr>
        <w:tab/>
        <w:t>Consolidar un marco de referencia para la integración del enfoque de Apropiación Social del conocimiento en los diversos proyectos vinculados a las convocatorias lideradas por el Ministerio de Ciencia, Tecnología e Innovación.</w:t>
      </w:r>
    </w:p>
    <w:p w14:paraId="108DF038" w14:textId="77777777" w:rsidR="00E52B8A" w:rsidRDefault="00E52B8A">
      <w:pPr>
        <w:ind w:left="0" w:hanging="2"/>
        <w:jc w:val="both"/>
        <w:rPr>
          <w:rFonts w:ascii="Arial Narrow" w:eastAsia="Arial Narrow" w:hAnsi="Arial Narrow" w:cs="Arial Narrow"/>
        </w:rPr>
      </w:pPr>
    </w:p>
    <w:p w14:paraId="30455BFA"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 xml:space="preserve">Objetivos Específicos: </w:t>
      </w:r>
    </w:p>
    <w:p w14:paraId="6FE6522B" w14:textId="77777777" w:rsidR="00E52B8A" w:rsidRDefault="00E52B8A">
      <w:pPr>
        <w:ind w:left="0" w:hanging="2"/>
        <w:jc w:val="both"/>
        <w:rPr>
          <w:rFonts w:ascii="Arial Narrow" w:eastAsia="Arial Narrow" w:hAnsi="Arial Narrow" w:cs="Arial Narrow"/>
        </w:rPr>
      </w:pPr>
    </w:p>
    <w:p w14:paraId="71EB3F58"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rPr>
        <w:tab/>
        <w:t>Brindar orientaciones transversales para los proyectos que integren el enfoque de ASC</w:t>
      </w:r>
    </w:p>
    <w:p w14:paraId="68E9F965"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rPr>
        <w:tab/>
        <w:t xml:space="preserve">Presentar componentes metodológicos que permitan el cumplimiento y alcance de los principios de la ASC. </w:t>
      </w:r>
    </w:p>
    <w:p w14:paraId="73117D37"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rPr>
        <w:tab/>
        <w:t>Presentar los productos de apropiación en el marco del modelo de reconocimiento de grupos de investigación.</w:t>
      </w:r>
    </w:p>
    <w:p w14:paraId="00FDABE8" w14:textId="77777777" w:rsidR="00E52B8A" w:rsidRDefault="00E52B8A">
      <w:pPr>
        <w:ind w:left="0" w:hanging="2"/>
        <w:jc w:val="both"/>
        <w:rPr>
          <w:rFonts w:ascii="Arial Narrow" w:eastAsia="Arial Narrow" w:hAnsi="Arial Narrow" w:cs="Arial Narrow"/>
        </w:rPr>
      </w:pPr>
    </w:p>
    <w:p w14:paraId="1EB89FC0" w14:textId="77777777" w:rsidR="00E52B8A" w:rsidRDefault="00E52B8A">
      <w:pPr>
        <w:ind w:left="0" w:hanging="2"/>
        <w:jc w:val="both"/>
        <w:rPr>
          <w:rFonts w:ascii="Arial Narrow" w:eastAsia="Arial Narrow" w:hAnsi="Arial Narrow" w:cs="Arial Narrow"/>
        </w:rPr>
      </w:pPr>
    </w:p>
    <w:p w14:paraId="2BD552A2" w14:textId="77777777" w:rsidR="00E52B8A" w:rsidRDefault="00746F53">
      <w:pPr>
        <w:ind w:left="0" w:hanging="2"/>
        <w:jc w:val="both"/>
        <w:rPr>
          <w:rFonts w:ascii="Arial Narrow" w:eastAsia="Arial Narrow" w:hAnsi="Arial Narrow" w:cs="Arial Narrow"/>
          <w:b/>
        </w:rPr>
      </w:pPr>
      <w:r>
        <w:rPr>
          <w:rFonts w:ascii="Arial Narrow" w:eastAsia="Arial Narrow" w:hAnsi="Arial Narrow" w:cs="Arial Narrow"/>
          <w:b/>
        </w:rPr>
        <w:t>1.</w:t>
      </w:r>
      <w:r>
        <w:rPr>
          <w:rFonts w:ascii="Arial Narrow" w:eastAsia="Arial Narrow" w:hAnsi="Arial Narrow" w:cs="Arial Narrow"/>
          <w:b/>
        </w:rPr>
        <w:tab/>
        <w:t>APROPIACIÓN SOCIAL DEL CONOCIMIENTO DESDE LA POLÍTICA PÚBLICA</w:t>
      </w:r>
    </w:p>
    <w:p w14:paraId="31CFD394"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La Política Pública de Apropiación Social del Conocimiento en el marco de la Ciencia, la Tecnología y la Innovación entiende la apropiación social del conocimiento como un proceso intencionado que convoca a “diversos actores sociales a participar de prácticas de intercambio, diálogo, análisis, reflexión y negociación (...) que promueven la comprensión e intervención de sus contextos”,  mediante la gestión, producción y aplicación de la ciencia, la tecnología y la innovación en entornos para posibilitar la transformación de realidades y la generación de bienestar social.</w:t>
      </w:r>
    </w:p>
    <w:p w14:paraId="0CF491E0"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lastRenderedPageBreak/>
        <w:t xml:space="preserve">La Apropiación Social del Conocimiento se fundamenta en la generación de condiciones para integrar diversidad de saberes y experiencias a los procesos de gestión de la CTeI con miras a incorporar la ciencia como un elemento permanente de las discusiones y la toma de decisiones de los diferentes actores sociales. (Ministerio de Ciencia, 2021, pág. 20) </w:t>
      </w:r>
    </w:p>
    <w:p w14:paraId="1D8CE394"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El concepto de Apropiación Social de la Ciencia, la Tecnología y la Innovación (</w:t>
      </w:r>
      <w:proofErr w:type="spellStart"/>
      <w:r>
        <w:rPr>
          <w:rFonts w:ascii="Arial Narrow" w:eastAsia="Arial Narrow" w:hAnsi="Arial Narrow" w:cs="Arial Narrow"/>
        </w:rPr>
        <w:t>ASCTeI</w:t>
      </w:r>
      <w:proofErr w:type="spellEnd"/>
      <w:r>
        <w:rPr>
          <w:rFonts w:ascii="Arial Narrow" w:eastAsia="Arial Narrow" w:hAnsi="Arial Narrow" w:cs="Arial Narrow"/>
        </w:rPr>
        <w:t>) surge en la década de los 80. En la primera misión de sabios en los años 90, el concepto se enfocó en la relación entre la ciencia, la tecnología y la sociedad, buscando desmitificar estos campos y promover una reflexión crítica sobre ellos. Adicionalmente, se implementaron prácticas para difundir la ciencia, especialmente entre los jóvenes, mediante divulgación científica y medios de comunicación. A partir de 2005, se impulsaron estrategias más democráticas, reconociendo el papel activo de los ciudadanos en la construcción del conocimiento. Esto condujo a la publicación de la Estrategia Nacional de Apropiación de la Ciencia, la Tecnología y la Innovación en 2010, que promueve la participación de la sociedad civil en la generación de conocimiento y en la formulación de políticas públicas. Esta tendencia se refleja en diversos documentos de política nacional, consolidando el papel de la sociedad en la ciencia y la tecnología en Colombia. Posterior la Estrategia Nacional surge la Política Pública de Apropiación Social del Conocimiento, que es un instrumento de política que busca posicionar el ASC en la ciudadanía y ser integrado como enfoque dentro de los procesos de investigación y desarrollo de CTeI en el país.  (Daza- Caicedo &amp; Lozano Borda, 2013; Lozano Borda &amp; Pérez-Bustos, 2012).</w:t>
      </w:r>
    </w:p>
    <w:p w14:paraId="41037281" w14:textId="77777777" w:rsidR="00E52B8A" w:rsidRDefault="00E52B8A">
      <w:pPr>
        <w:ind w:left="0" w:hanging="2"/>
        <w:jc w:val="both"/>
        <w:rPr>
          <w:rFonts w:ascii="Arial Narrow" w:eastAsia="Arial Narrow" w:hAnsi="Arial Narrow" w:cs="Arial Narrow"/>
        </w:rPr>
      </w:pPr>
    </w:p>
    <w:p w14:paraId="3C4C96DE" w14:textId="77777777" w:rsidR="00E52B8A" w:rsidRDefault="00746F53">
      <w:pPr>
        <w:ind w:left="0" w:hanging="2"/>
        <w:jc w:val="both"/>
        <w:rPr>
          <w:rFonts w:ascii="Arial Narrow" w:eastAsia="Arial Narrow" w:hAnsi="Arial Narrow" w:cs="Arial Narrow"/>
          <w:b/>
        </w:rPr>
      </w:pPr>
      <w:r>
        <w:rPr>
          <w:rFonts w:ascii="Arial Narrow" w:eastAsia="Arial Narrow" w:hAnsi="Arial Narrow" w:cs="Arial Narrow"/>
          <w:b/>
        </w:rPr>
        <w:t>2.</w:t>
      </w:r>
      <w:r>
        <w:rPr>
          <w:rFonts w:ascii="Arial Narrow" w:eastAsia="Arial Narrow" w:hAnsi="Arial Narrow" w:cs="Arial Narrow"/>
          <w:b/>
        </w:rPr>
        <w:tab/>
        <w:t>PRINCIPIOS</w:t>
      </w:r>
    </w:p>
    <w:p w14:paraId="61449644" w14:textId="77777777" w:rsidR="00E52B8A" w:rsidRDefault="00E52B8A">
      <w:pPr>
        <w:ind w:left="0" w:hanging="2"/>
        <w:jc w:val="both"/>
        <w:rPr>
          <w:rFonts w:ascii="Arial Narrow" w:eastAsia="Arial Narrow" w:hAnsi="Arial Narrow" w:cs="Arial Narrow"/>
        </w:rPr>
      </w:pPr>
    </w:p>
    <w:p w14:paraId="1F45A3D2"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Esta política define cinco principios que fundamentan los procesos de Apropiación Social del Conocimiento.</w:t>
      </w:r>
    </w:p>
    <w:p w14:paraId="4DAA5F18"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 xml:space="preserve">1. </w:t>
      </w:r>
      <w:r>
        <w:rPr>
          <w:rFonts w:ascii="Arial Narrow" w:eastAsia="Arial Narrow" w:hAnsi="Arial Narrow" w:cs="Arial Narrow"/>
          <w:i/>
        </w:rPr>
        <w:t xml:space="preserve">Reconocimiento de contexto: </w:t>
      </w:r>
      <w:r>
        <w:rPr>
          <w:rFonts w:ascii="Arial Narrow" w:eastAsia="Arial Narrow" w:hAnsi="Arial Narrow" w:cs="Arial Narrow"/>
        </w:rPr>
        <w:t>hace alusión a las prácticas de identificación e interpretación de las realidades locales, sus características, sus formas de interacción y convivencia, así como la manifestación de intereses, problemas y necesidades de los ciudadanos. Con este principio se espera que los procesos de Apropiación Social del Conocimiento partan del reconocimiento de los contextos en los cuales se desarrollan y que los sujetos que participan exploren y generen alternativas de CTeI orientadas al mejoramiento de las condiciones de vida, con propuestas pertinentes, oportunas, respetuosas y éticas.</w:t>
      </w:r>
    </w:p>
    <w:p w14:paraId="1C0EF137"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 xml:space="preserve">2. </w:t>
      </w:r>
      <w:r>
        <w:rPr>
          <w:rFonts w:ascii="Arial Narrow" w:eastAsia="Arial Narrow" w:hAnsi="Arial Narrow" w:cs="Arial Narrow"/>
          <w:i/>
        </w:rPr>
        <w:t>Participación:</w:t>
      </w:r>
      <w:r>
        <w:rPr>
          <w:rFonts w:ascii="Arial Narrow" w:eastAsia="Arial Narrow" w:hAnsi="Arial Narrow" w:cs="Arial Narrow"/>
        </w:rPr>
        <w:t xml:space="preserve"> es intervención ciudadana para la toma de decisiones, negociación, colaboración, comunicación y gobernanza en asuntos de interés social y de CTeI. Estas intervenciones parten del reconocimiento de un contexto plural y diverso, en el cual todos los sujetos tienen diferentes maneras de actuar, distintas interpretaciones y reflexiones del mundo, así como diversos saberes y conocimientos que pueden interactuar y aportar a la construcción de comprensiones compartidas.</w:t>
      </w:r>
    </w:p>
    <w:p w14:paraId="04488820"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 xml:space="preserve">3. </w:t>
      </w:r>
      <w:r>
        <w:rPr>
          <w:rFonts w:ascii="Arial Narrow" w:eastAsia="Arial Narrow" w:hAnsi="Arial Narrow" w:cs="Arial Narrow"/>
          <w:i/>
        </w:rPr>
        <w:t>Diálogo de saberes y conocimientos:</w:t>
      </w:r>
      <w:r>
        <w:rPr>
          <w:rFonts w:ascii="Arial Narrow" w:eastAsia="Arial Narrow" w:hAnsi="Arial Narrow" w:cs="Arial Narrow"/>
        </w:rPr>
        <w:t xml:space="preserve"> es el encuentro entre ciudadanos para intercambiar, mediar y discutir acerca de distintos temas y situaciones de interés. Un espacio donde se reconocen las diferentes visiones del mundo y las formas de generar y apropiar el conocimiento. Este diálogo se genera en condiciones de equidad, respeto y valoración de la diferencia; y propicia el aprendizaje, el fortalecimiento de capacidades y la construcción de nuevas relaciones entre los actores y los saberes y los conocimientos.</w:t>
      </w:r>
    </w:p>
    <w:p w14:paraId="6D9AEF7E"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 xml:space="preserve">4. </w:t>
      </w:r>
      <w:r>
        <w:rPr>
          <w:rFonts w:ascii="Arial Narrow" w:eastAsia="Arial Narrow" w:hAnsi="Arial Narrow" w:cs="Arial Narrow"/>
          <w:i/>
        </w:rPr>
        <w:t>Transformación:</w:t>
      </w:r>
      <w:r>
        <w:rPr>
          <w:rFonts w:ascii="Arial Narrow" w:eastAsia="Arial Narrow" w:hAnsi="Arial Narrow" w:cs="Arial Narrow"/>
        </w:rPr>
        <w:t xml:space="preserve"> es un proceso de cambio, resultado de la participación, diálogo y encuentro con otros a partir del uso y generación de saberes y conocimientos científico-tecnológicos. Este principio resalta la importancia de garantizar la construcción de relaciones horizontales y de reconocer los impactos y resultados del trabajo colaborativo entre diversos actores.</w:t>
      </w:r>
    </w:p>
    <w:p w14:paraId="6BE293A1"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 xml:space="preserve">5. </w:t>
      </w:r>
      <w:r>
        <w:rPr>
          <w:rFonts w:ascii="Arial Narrow" w:eastAsia="Arial Narrow" w:hAnsi="Arial Narrow" w:cs="Arial Narrow"/>
          <w:i/>
        </w:rPr>
        <w:t>Reflexión crítica:</w:t>
      </w:r>
      <w:r>
        <w:rPr>
          <w:rFonts w:ascii="Arial Narrow" w:eastAsia="Arial Narrow" w:hAnsi="Arial Narrow" w:cs="Arial Narrow"/>
        </w:rPr>
        <w:t xml:space="preserve"> es el análisis continuo que hacen los ciudadanos de las prácticas cotidianas, las situaciones y las experiencias en las que participan y las condiciones en las que se presentan. Este principio tiene el propósito de contribuir al desarrollo de nuevas formas de intervención de la realidad para el beneficio colectivo y el fomento del pensamiento crítico, a partir de las posibilidades que brinda la CTeI. (Ministerio de Ciencia, 2021, págs. 21-22)</w:t>
      </w:r>
    </w:p>
    <w:p w14:paraId="6E468631"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ab/>
      </w:r>
    </w:p>
    <w:p w14:paraId="2296E5A3" w14:textId="77777777" w:rsidR="00E52B8A" w:rsidRDefault="00E52B8A">
      <w:pPr>
        <w:ind w:left="0" w:hanging="2"/>
        <w:jc w:val="both"/>
        <w:rPr>
          <w:rFonts w:ascii="Arial Narrow" w:eastAsia="Arial Narrow" w:hAnsi="Arial Narrow" w:cs="Arial Narrow"/>
        </w:rPr>
      </w:pPr>
    </w:p>
    <w:p w14:paraId="11F45DFB" w14:textId="77777777" w:rsidR="00E52B8A" w:rsidRDefault="00E52B8A">
      <w:pPr>
        <w:ind w:left="0" w:hanging="2"/>
        <w:jc w:val="both"/>
        <w:rPr>
          <w:rFonts w:ascii="Arial Narrow" w:eastAsia="Arial Narrow" w:hAnsi="Arial Narrow" w:cs="Arial Narrow"/>
          <w:b/>
        </w:rPr>
      </w:pPr>
    </w:p>
    <w:p w14:paraId="66C62FC3" w14:textId="77777777" w:rsidR="00E52B8A" w:rsidRDefault="00746F53">
      <w:pPr>
        <w:ind w:left="0" w:hanging="2"/>
        <w:jc w:val="both"/>
        <w:rPr>
          <w:rFonts w:ascii="Arial Narrow" w:eastAsia="Arial Narrow" w:hAnsi="Arial Narrow" w:cs="Arial Narrow"/>
          <w:b/>
        </w:rPr>
      </w:pPr>
      <w:r>
        <w:rPr>
          <w:rFonts w:ascii="Arial Narrow" w:eastAsia="Arial Narrow" w:hAnsi="Arial Narrow" w:cs="Arial Narrow"/>
          <w:b/>
        </w:rPr>
        <w:t>3.</w:t>
      </w:r>
      <w:r>
        <w:rPr>
          <w:rFonts w:ascii="Arial Narrow" w:eastAsia="Arial Narrow" w:hAnsi="Arial Narrow" w:cs="Arial Narrow"/>
          <w:b/>
        </w:rPr>
        <w:tab/>
        <w:t>ESCENARIOS DE PARTICIPACIÓN:</w:t>
      </w:r>
    </w:p>
    <w:p w14:paraId="5C2333EA" w14:textId="77777777" w:rsidR="00E52B8A" w:rsidRDefault="00E52B8A">
      <w:pPr>
        <w:ind w:left="0" w:hanging="2"/>
        <w:jc w:val="both"/>
        <w:rPr>
          <w:rFonts w:ascii="Arial Narrow" w:eastAsia="Arial Narrow" w:hAnsi="Arial Narrow" w:cs="Arial Narrow"/>
        </w:rPr>
      </w:pPr>
    </w:p>
    <w:p w14:paraId="4D8B7D4F"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 xml:space="preserve">Al ser la participación uno de los principios de la Apropiación Social del conocimiento, es un factor diferencial de muchos otros procesos que involucran la CTeI. La participación depende de intereses, comprensiones y posibilidades de las entidades que estén liderando la </w:t>
      </w:r>
      <w:r>
        <w:rPr>
          <w:rFonts w:ascii="Arial Narrow" w:eastAsia="Arial Narrow" w:hAnsi="Arial Narrow" w:cs="Arial Narrow"/>
        </w:rPr>
        <w:lastRenderedPageBreak/>
        <w:t xml:space="preserve">ejecución de los proyectos, dado que requiere la generación de unas condiciones propicias como son entornos de confianza, equidad e inclusión. </w:t>
      </w:r>
    </w:p>
    <w:p w14:paraId="7B532FB7"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A continuación, se presentan 3 niveles de participación, que muestran diversas maneras de interacción según cómo son involucrados otros actores en los procesos, esto refleja la estructura de poder que se encuentra directamente relacionada con la toma de decisiones y hasta dónde tienen influencia. Así, dependiendo de los actores involucrados y lo que se quiera lograr, es posible elegir un escenario de los que se presentan a continuación u otro que sea pertinente.</w:t>
      </w:r>
    </w:p>
    <w:p w14:paraId="415A6E86" w14:textId="77777777" w:rsidR="00E52B8A" w:rsidRDefault="00E52B8A">
      <w:pPr>
        <w:ind w:left="0" w:hanging="2"/>
        <w:jc w:val="both"/>
        <w:rPr>
          <w:rFonts w:ascii="Arial Narrow" w:eastAsia="Arial Narrow" w:hAnsi="Arial Narrow" w:cs="Arial Narrow"/>
        </w:rPr>
      </w:pPr>
    </w:p>
    <w:p w14:paraId="454EEC03"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1.</w:t>
      </w:r>
      <w:r>
        <w:rPr>
          <w:rFonts w:ascii="Arial Narrow" w:eastAsia="Arial Narrow" w:hAnsi="Arial Narrow" w:cs="Arial Narrow"/>
          <w:i/>
        </w:rPr>
        <w:t xml:space="preserve"> Escenario de colaboración:</w:t>
      </w:r>
      <w:r>
        <w:rPr>
          <w:rFonts w:ascii="Arial Narrow" w:eastAsia="Arial Narrow" w:hAnsi="Arial Narrow" w:cs="Arial Narrow"/>
        </w:rPr>
        <w:t xml:space="preserve"> La colaboración propone fomentar la participación de los grupos de </w:t>
      </w:r>
      <w:proofErr w:type="spellStart"/>
      <w:r>
        <w:rPr>
          <w:rFonts w:ascii="Arial Narrow" w:eastAsia="Arial Narrow" w:hAnsi="Arial Narrow" w:cs="Arial Narrow"/>
        </w:rPr>
        <w:t>interes</w:t>
      </w:r>
      <w:proofErr w:type="spellEnd"/>
      <w:r>
        <w:rPr>
          <w:rFonts w:ascii="Arial Narrow" w:eastAsia="Arial Narrow" w:hAnsi="Arial Narrow" w:cs="Arial Narrow"/>
        </w:rPr>
        <w:t xml:space="preserve"> en la generación y gestión del conocimiento, por un lado, al involucrar a los participantes como </w:t>
      </w:r>
      <w:proofErr w:type="spellStart"/>
      <w:r>
        <w:rPr>
          <w:rFonts w:ascii="Arial Narrow" w:eastAsia="Arial Narrow" w:hAnsi="Arial Narrow" w:cs="Arial Narrow"/>
        </w:rPr>
        <w:t>co-investigadores</w:t>
      </w:r>
      <w:proofErr w:type="spellEnd"/>
      <w:r>
        <w:rPr>
          <w:rFonts w:ascii="Arial Narrow" w:eastAsia="Arial Narrow" w:hAnsi="Arial Narrow" w:cs="Arial Narrow"/>
        </w:rPr>
        <w:t xml:space="preserve"> o al desarrollar proyectos de investigación colaborativos; y, por otro lado, los ciudadanos también pueden colaborar en la formulación de políticas científicas, la definición de agendas, la implementación de investigaciones futuras o en la aplicación de resultados de investigación. </w:t>
      </w:r>
    </w:p>
    <w:p w14:paraId="7FC1070D" w14:textId="77777777" w:rsidR="00E52B8A" w:rsidRDefault="00E52B8A">
      <w:pPr>
        <w:ind w:left="0" w:hanging="2"/>
        <w:jc w:val="both"/>
        <w:rPr>
          <w:rFonts w:ascii="Arial Narrow" w:eastAsia="Arial Narrow" w:hAnsi="Arial Narrow" w:cs="Arial Narrow"/>
        </w:rPr>
      </w:pPr>
    </w:p>
    <w:p w14:paraId="2B38875E"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 xml:space="preserve">La participación activa es un proceso que estimula a los diversos actores que se incorporan a un proyecto a empoderarse y transformar prácticas para fortalecer sus capacidades, gestionar sus recursos, tomar decisiones y colaborar con otros. este es el fin de la Política Pública de Apropiación Social del Conocimiento. Este escenario de colaboración busca que se enmarquen todos los principios de la apropiación social del conocimiento, particularmente a los que se refieren con transformación, participación y reflexión crítica.  </w:t>
      </w:r>
    </w:p>
    <w:p w14:paraId="32ADEE8D"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 xml:space="preserve">Aquí aparecen algunas experiencias de ciencia ciudadana, algunos proyectos realizados en el marco de los programas A Ciencia Cierta, proyectos de </w:t>
      </w:r>
      <w:proofErr w:type="spellStart"/>
      <w:r>
        <w:rPr>
          <w:rFonts w:ascii="Arial Narrow" w:eastAsia="Arial Narrow" w:hAnsi="Arial Narrow" w:cs="Arial Narrow"/>
        </w:rPr>
        <w:t>coinvestigación</w:t>
      </w:r>
      <w:proofErr w:type="spellEnd"/>
      <w:r>
        <w:rPr>
          <w:rFonts w:ascii="Arial Narrow" w:eastAsia="Arial Narrow" w:hAnsi="Arial Narrow" w:cs="Arial Narrow"/>
        </w:rPr>
        <w:t xml:space="preserve">, entre otros. Las acciones que involucran el Escenario de Colaboración están definidos en el capítulo 4 y </w:t>
      </w:r>
      <w:proofErr w:type="gramStart"/>
      <w:r>
        <w:rPr>
          <w:rFonts w:ascii="Arial Narrow" w:eastAsia="Arial Narrow" w:hAnsi="Arial Narrow" w:cs="Arial Narrow"/>
        </w:rPr>
        <w:t>5  de</w:t>
      </w:r>
      <w:proofErr w:type="gramEnd"/>
      <w:r>
        <w:rPr>
          <w:rFonts w:ascii="Arial Narrow" w:eastAsia="Arial Narrow" w:hAnsi="Arial Narrow" w:cs="Arial Narrow"/>
        </w:rPr>
        <w:t xml:space="preserve"> Consideraciones Metodológicas Y De Evidencias.  </w:t>
      </w:r>
    </w:p>
    <w:p w14:paraId="55A5630D" w14:textId="77777777" w:rsidR="00E52B8A" w:rsidRDefault="00E52B8A">
      <w:pPr>
        <w:ind w:left="0" w:hanging="2"/>
        <w:jc w:val="both"/>
        <w:rPr>
          <w:rFonts w:ascii="Arial Narrow" w:eastAsia="Arial Narrow" w:hAnsi="Arial Narrow" w:cs="Arial Narrow"/>
        </w:rPr>
      </w:pPr>
    </w:p>
    <w:p w14:paraId="44D5BCAB"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 xml:space="preserve">2. </w:t>
      </w:r>
      <w:r>
        <w:rPr>
          <w:rFonts w:ascii="Arial Narrow" w:eastAsia="Arial Narrow" w:hAnsi="Arial Narrow" w:cs="Arial Narrow"/>
          <w:i/>
        </w:rPr>
        <w:t>Escenario de involucramiento:</w:t>
      </w:r>
      <w:r>
        <w:rPr>
          <w:rFonts w:ascii="Arial Narrow" w:eastAsia="Arial Narrow" w:hAnsi="Arial Narrow" w:cs="Arial Narrow"/>
        </w:rPr>
        <w:t xml:space="preserve"> El involucramiento es la participación de grupos de interés (Universidad, Empresa, Estado, Sociedad Civil) en actividades relacionadas con la producción, circulación o gestión del conocimiento científico y tecnológico. Todos los participantes desarrollan un nuevo nivel de comprensión de los problemas de interés, lo que les permite resolverlos, mejorarlos, transformarlos o cualificarlos. En este escenario las acciones encaminadas a cumplir con los principios de lectura del contexto y diálogo de saberes son fundamentales.  </w:t>
      </w:r>
    </w:p>
    <w:p w14:paraId="56B3C8E2" w14:textId="77777777" w:rsidR="00E52B8A" w:rsidRDefault="00E52B8A">
      <w:pPr>
        <w:ind w:left="0" w:hanging="2"/>
        <w:jc w:val="both"/>
        <w:rPr>
          <w:rFonts w:ascii="Arial Narrow" w:eastAsia="Arial Narrow" w:hAnsi="Arial Narrow" w:cs="Arial Narrow"/>
        </w:rPr>
      </w:pPr>
    </w:p>
    <w:p w14:paraId="4A2E5AFF"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 xml:space="preserve">Con respecto a la solución de las necesidades o situaciones problema, la acción puede ser pensada por un agente líder, pero es compartida con los demás actores. Supone que ellos se incorporan en pensar y aportar respecto a la intervención a realizar. Esta implicación supone un proceso en el que los grupos de interés se vuelven corresponsables de circunstancias relacionadas con el conocimiento y, con ello, los individuos fortalecen sus capacidades, confianza, visión y agencia para responder a sus propias necesidades e impulsar cambios culturales. El escenario de involucramiento se relaciona con la inclusión de metodologías participativas apuestan por un aprendizaje activo mediante actividades colectivas, estos espacios se caracterizan por ser ejercicios de intercambio y diálogo de saberes y conocimientos.  Así, aparecen escenarios como las consultas públicas, la identificación de asuntos de interés de manera conjunta, procesos de diagnóstico participativo, algunos clubes de ciencia, los talleres de reparación, los Minga </w:t>
      </w:r>
      <w:proofErr w:type="spellStart"/>
      <w:r>
        <w:rPr>
          <w:rFonts w:ascii="Arial Narrow" w:eastAsia="Arial Narrow" w:hAnsi="Arial Narrow" w:cs="Arial Narrow"/>
        </w:rPr>
        <w:t>Labs</w:t>
      </w:r>
      <w:proofErr w:type="spellEnd"/>
      <w:r>
        <w:rPr>
          <w:rFonts w:ascii="Arial Narrow" w:eastAsia="Arial Narrow" w:hAnsi="Arial Narrow" w:cs="Arial Narrow"/>
        </w:rPr>
        <w:t>, la participación en comités asesores, entre otros.</w:t>
      </w:r>
    </w:p>
    <w:p w14:paraId="6F65BAC1" w14:textId="77777777" w:rsidR="00E52B8A" w:rsidRDefault="00E52B8A">
      <w:pPr>
        <w:ind w:left="0" w:hanging="2"/>
        <w:jc w:val="both"/>
        <w:rPr>
          <w:rFonts w:ascii="Arial Narrow" w:eastAsia="Arial Narrow" w:hAnsi="Arial Narrow" w:cs="Arial Narrow"/>
        </w:rPr>
      </w:pPr>
    </w:p>
    <w:p w14:paraId="2CBA8150"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 xml:space="preserve">3. </w:t>
      </w:r>
      <w:r>
        <w:rPr>
          <w:rFonts w:ascii="Arial Narrow" w:eastAsia="Arial Narrow" w:hAnsi="Arial Narrow" w:cs="Arial Narrow"/>
          <w:i/>
        </w:rPr>
        <w:t>Escenario de información y consulta</w:t>
      </w:r>
      <w:r>
        <w:rPr>
          <w:rFonts w:ascii="Arial Narrow" w:eastAsia="Arial Narrow" w:hAnsi="Arial Narrow" w:cs="Arial Narrow"/>
        </w:rPr>
        <w:t>: Informar, de un lado, se ha entendido históricamente como la lógica de difusión del conocimiento desde el ámbito experto para anunciar a la sociedad avances, preguntas y cuestiones de un campo del conocimiento. En algunos casos, busca inspirar a jóvenes, adultos y públicos familiares sobre los resultados de las investigaciones de ciencias y tecnologías. Como ejemplos prácticos de los escenarios en los que se despliega tenemos los pódcast, los programas de TV, los artículos periodísticos e incluso algunas exhibiciones de museos, entre otros.</w:t>
      </w:r>
    </w:p>
    <w:p w14:paraId="09FFB601"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 xml:space="preserve">De otro lado, consultar se refiere a aquellas acciones que buscan recoger información, preocupaciones y percepciones de una población para permitir la circulación de resultados de investigación o controversias científicas y tecnológicas. Este es el caso de los foros, los debates públicos, algunas exhibiciones interactivas, entre otros. (Ministerio de Ciencia, </w:t>
      </w:r>
      <w:proofErr w:type="spellStart"/>
      <w:r>
        <w:rPr>
          <w:rFonts w:ascii="Arial Narrow" w:eastAsia="Arial Narrow" w:hAnsi="Arial Narrow" w:cs="Arial Narrow"/>
        </w:rPr>
        <w:t>sf</w:t>
      </w:r>
      <w:proofErr w:type="spellEnd"/>
      <w:r>
        <w:rPr>
          <w:rFonts w:ascii="Arial Narrow" w:eastAsia="Arial Narrow" w:hAnsi="Arial Narrow" w:cs="Arial Narrow"/>
        </w:rPr>
        <w:t xml:space="preserve">, págs. 11-12) </w:t>
      </w:r>
    </w:p>
    <w:p w14:paraId="31F5F2F8" w14:textId="77777777" w:rsidR="00E52B8A" w:rsidRDefault="00E52B8A">
      <w:pPr>
        <w:ind w:left="0" w:hanging="2"/>
        <w:jc w:val="both"/>
        <w:rPr>
          <w:rFonts w:ascii="Arial Narrow" w:eastAsia="Arial Narrow" w:hAnsi="Arial Narrow" w:cs="Arial Narrow"/>
        </w:rPr>
      </w:pPr>
    </w:p>
    <w:p w14:paraId="4376ED2F" w14:textId="77777777" w:rsidR="00E52B8A" w:rsidRDefault="00746F53">
      <w:pPr>
        <w:ind w:left="0" w:hanging="2"/>
        <w:jc w:val="center"/>
        <w:rPr>
          <w:rFonts w:ascii="Arial Narrow" w:eastAsia="Arial Narrow" w:hAnsi="Arial Narrow" w:cs="Arial Narrow"/>
        </w:rPr>
      </w:pPr>
      <w:r>
        <w:rPr>
          <w:rFonts w:ascii="Arial Narrow" w:eastAsia="Arial Narrow" w:hAnsi="Arial Narrow" w:cs="Arial Narrow"/>
        </w:rPr>
        <w:lastRenderedPageBreak/>
        <w:t xml:space="preserve"> </w:t>
      </w:r>
      <w:r>
        <w:rPr>
          <w:rFonts w:ascii="Arial Narrow" w:eastAsia="Arial Narrow" w:hAnsi="Arial Narrow" w:cs="Arial Narrow"/>
          <w:noProof/>
          <w:lang w:val="es-CO" w:eastAsia="es-CO"/>
        </w:rPr>
        <w:drawing>
          <wp:inline distT="114300" distB="114300" distL="114300" distR="114300" wp14:anchorId="0390D859" wp14:editId="66C885EE">
            <wp:extent cx="1951573" cy="1636650"/>
            <wp:effectExtent l="0" t="0" r="0" b="0"/>
            <wp:docPr id="104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951573" cy="1636650"/>
                    </a:xfrm>
                    <a:prstGeom prst="rect">
                      <a:avLst/>
                    </a:prstGeom>
                    <a:ln/>
                  </pic:spPr>
                </pic:pic>
              </a:graphicData>
            </a:graphic>
          </wp:inline>
        </w:drawing>
      </w:r>
    </w:p>
    <w:p w14:paraId="4475FCCA"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Figura 1. Escenarios de participación de apropiación social del conocimiento vs intensificación del proceso.</w:t>
      </w:r>
    </w:p>
    <w:p w14:paraId="7D6FAD9E" w14:textId="77777777" w:rsidR="00E52B8A" w:rsidRDefault="00E52B8A">
      <w:pPr>
        <w:ind w:left="0" w:hanging="2"/>
        <w:jc w:val="both"/>
        <w:rPr>
          <w:rFonts w:ascii="Arial Narrow" w:eastAsia="Arial Narrow" w:hAnsi="Arial Narrow" w:cs="Arial Narrow"/>
        </w:rPr>
      </w:pPr>
    </w:p>
    <w:p w14:paraId="4064773E" w14:textId="77777777" w:rsidR="00E52B8A" w:rsidRDefault="00E52B8A">
      <w:pPr>
        <w:ind w:left="0" w:hanging="2"/>
        <w:jc w:val="both"/>
        <w:rPr>
          <w:rFonts w:ascii="Arial Narrow" w:eastAsia="Arial Narrow" w:hAnsi="Arial Narrow" w:cs="Arial Narrow"/>
        </w:rPr>
      </w:pPr>
    </w:p>
    <w:p w14:paraId="693F4E47"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 xml:space="preserve">Estos niveles no se dan de manera uniforme en cada una de las etapas de los procesos de apropiación social del conocimiento, sin embargo, es necesario que todo el proceso no transcurra en el nivel de información y consulta dado esto no permite que se cree condiciones para la reflexión crítica, la transformación o el diálogo de saberes. </w:t>
      </w:r>
    </w:p>
    <w:p w14:paraId="3CAAE1F2"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Plantear modelos de participación en la que los demás actores tienen influencia en la toma de decisiones hace que sea un desafío para las entidades, porque implica un relacionamiento distinto y crear espacios de diálogo, mediación y creación de consensos, que muchas veces generan iteraciones que están en contravía de los cronogramas de avance de los proyectos.  Sin embargo, abrir estos espacios y brindar estas condiciones a participaciones cada vez más activas es lo que nos permite tener procesos más significativos entorno a la apropiación social del conocimiento.</w:t>
      </w:r>
    </w:p>
    <w:p w14:paraId="02AAC6D4" w14:textId="77777777" w:rsidR="00E52B8A" w:rsidRDefault="00E52B8A">
      <w:pPr>
        <w:ind w:left="0" w:hanging="2"/>
        <w:jc w:val="both"/>
        <w:rPr>
          <w:rFonts w:ascii="Arial Narrow" w:eastAsia="Arial Narrow" w:hAnsi="Arial Narrow" w:cs="Arial Narrow"/>
        </w:rPr>
      </w:pPr>
    </w:p>
    <w:p w14:paraId="6C9A522F" w14:textId="77777777" w:rsidR="00E52B8A" w:rsidRDefault="00746F53">
      <w:pPr>
        <w:ind w:left="0" w:hanging="2"/>
        <w:jc w:val="both"/>
        <w:rPr>
          <w:rFonts w:ascii="Arial Narrow" w:eastAsia="Arial Narrow" w:hAnsi="Arial Narrow" w:cs="Arial Narrow"/>
          <w:b/>
        </w:rPr>
      </w:pPr>
      <w:r>
        <w:rPr>
          <w:rFonts w:ascii="Arial Narrow" w:eastAsia="Arial Narrow" w:hAnsi="Arial Narrow" w:cs="Arial Narrow"/>
          <w:b/>
        </w:rPr>
        <w:t>4.</w:t>
      </w:r>
      <w:r>
        <w:rPr>
          <w:rFonts w:ascii="Arial Narrow" w:eastAsia="Arial Narrow" w:hAnsi="Arial Narrow" w:cs="Arial Narrow"/>
          <w:b/>
        </w:rPr>
        <w:tab/>
        <w:t xml:space="preserve"> CONSIDERACIONES METODOLÓGICAS PARA PROYECTOS DE APROPIACIÓN SOCIAL DEL CONOCIMIENTO</w:t>
      </w:r>
    </w:p>
    <w:p w14:paraId="774FC47E" w14:textId="77777777" w:rsidR="00E52B8A" w:rsidRDefault="00E52B8A">
      <w:pPr>
        <w:ind w:left="0" w:hanging="2"/>
        <w:jc w:val="both"/>
        <w:rPr>
          <w:rFonts w:ascii="Arial Narrow" w:eastAsia="Arial Narrow" w:hAnsi="Arial Narrow" w:cs="Arial Narrow"/>
        </w:rPr>
      </w:pPr>
    </w:p>
    <w:p w14:paraId="4A320A70"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 xml:space="preserve">A continuación, se describen las consideraciones metodológicas que pueden ser aplicadas en el desarrollo de procesos de apropiación social del conocimiento.  El orden de presentación de las actividades propuestas no responde a una lógica lineal ni secuencial, estas se pueden realizar en todas las fases y momentos del proceso, incluso algunas de ellas pueden considerarse transversales e integrar diferentes momentos del proceso.    </w:t>
      </w:r>
    </w:p>
    <w:p w14:paraId="7CC73D7B" w14:textId="77777777" w:rsidR="00E52B8A" w:rsidRDefault="00E52B8A">
      <w:pPr>
        <w:ind w:left="0" w:hanging="2"/>
        <w:jc w:val="both"/>
        <w:rPr>
          <w:rFonts w:ascii="Arial Narrow" w:eastAsia="Arial Narrow" w:hAnsi="Arial Narrow" w:cs="Arial Narrow"/>
        </w:rPr>
      </w:pPr>
    </w:p>
    <w:p w14:paraId="028E8CE0"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b/>
        </w:rPr>
        <w:t xml:space="preserve"> Identificación de asuntos de interés de manera conjunta.</w:t>
      </w:r>
      <w:r>
        <w:rPr>
          <w:rFonts w:ascii="Arial Narrow" w:eastAsia="Arial Narrow" w:hAnsi="Arial Narrow" w:cs="Arial Narrow"/>
        </w:rPr>
        <w:t xml:space="preserve"> A partir de metodologías de trabajo colaborativo, la entidad ejecutora y los actores involucrados, identifican sus intereses, necesidades, problemáticas, situaciones, para definir conjuntamente el problema central del proceso de investigación. </w:t>
      </w:r>
    </w:p>
    <w:p w14:paraId="31BF2426" w14:textId="77777777" w:rsidR="00E52B8A" w:rsidRDefault="00E52B8A">
      <w:pPr>
        <w:ind w:left="0" w:hanging="2"/>
        <w:jc w:val="both"/>
        <w:rPr>
          <w:rFonts w:ascii="Arial Narrow" w:eastAsia="Arial Narrow" w:hAnsi="Arial Narrow" w:cs="Arial Narrow"/>
        </w:rPr>
      </w:pPr>
    </w:p>
    <w:p w14:paraId="0CDA972F"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 xml:space="preserve">▪ </w:t>
      </w:r>
      <w:r>
        <w:rPr>
          <w:rFonts w:ascii="Arial Narrow" w:eastAsia="Arial Narrow" w:hAnsi="Arial Narrow" w:cs="Arial Narrow"/>
          <w:b/>
        </w:rPr>
        <w:t xml:space="preserve">Jornadas de acuerdos, concertación y planeación. </w:t>
      </w:r>
      <w:r>
        <w:rPr>
          <w:rFonts w:ascii="Arial Narrow" w:eastAsia="Arial Narrow" w:hAnsi="Arial Narrow" w:cs="Arial Narrow"/>
        </w:rPr>
        <w:t xml:space="preserve">Actividad que facilita el diseño del plan de trabajo a realizar entre la entidad ejecutora y los actores involucrados, así como la toma de decisiones frente a temas relevantes en el proceso investigativo (definición del problema central, generación de alianzas, actividades de recolección de información, elaboración de contenidos, entre otros). </w:t>
      </w:r>
    </w:p>
    <w:p w14:paraId="38E6943B" w14:textId="77777777" w:rsidR="00E52B8A" w:rsidRDefault="00E52B8A">
      <w:pPr>
        <w:ind w:left="0" w:hanging="2"/>
        <w:jc w:val="both"/>
        <w:rPr>
          <w:rFonts w:ascii="Arial Narrow" w:eastAsia="Arial Narrow" w:hAnsi="Arial Narrow" w:cs="Arial Narrow"/>
        </w:rPr>
      </w:pPr>
    </w:p>
    <w:p w14:paraId="00D17115"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 xml:space="preserve">▪ </w:t>
      </w:r>
      <w:r>
        <w:rPr>
          <w:rFonts w:ascii="Arial Narrow" w:eastAsia="Arial Narrow" w:hAnsi="Arial Narrow" w:cs="Arial Narrow"/>
          <w:b/>
        </w:rPr>
        <w:t>Caracterización de los actores participantes.</w:t>
      </w:r>
      <w:r>
        <w:rPr>
          <w:rFonts w:ascii="Arial Narrow" w:eastAsia="Arial Narrow" w:hAnsi="Arial Narrow" w:cs="Arial Narrow"/>
        </w:rPr>
        <w:t xml:space="preserve"> Realizar la identificación y caracterización de los actores, actores vinculados activamente al desarrollo del proceso de investigación, aliados, población afectada, población beneficiada, otros grupos de interés. </w:t>
      </w:r>
    </w:p>
    <w:p w14:paraId="7DEBD757" w14:textId="77777777" w:rsidR="00E52B8A" w:rsidRDefault="00E52B8A">
      <w:pPr>
        <w:ind w:left="0" w:hanging="2"/>
        <w:jc w:val="both"/>
        <w:rPr>
          <w:rFonts w:ascii="Arial Narrow" w:eastAsia="Arial Narrow" w:hAnsi="Arial Narrow" w:cs="Arial Narrow"/>
        </w:rPr>
      </w:pPr>
    </w:p>
    <w:p w14:paraId="5BB124F5"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 xml:space="preserve">▪ </w:t>
      </w:r>
      <w:r>
        <w:rPr>
          <w:rFonts w:ascii="Arial Narrow" w:eastAsia="Arial Narrow" w:hAnsi="Arial Narrow" w:cs="Arial Narrow"/>
          <w:b/>
        </w:rPr>
        <w:t>Diagnóstico participativo.</w:t>
      </w:r>
      <w:r>
        <w:rPr>
          <w:rFonts w:ascii="Arial Narrow" w:eastAsia="Arial Narrow" w:hAnsi="Arial Narrow" w:cs="Arial Narrow"/>
        </w:rPr>
        <w:t xml:space="preserve"> Actividad para el encuentro entre la entidad ejecutora y actores involucrados en la investigación. El diagnóstico permite evidenciar las expectativas de la entidad ejecutora y los actores involucrados, ampliar la identificación de temas de interés y la negociación sobre los mismos frente a las distintas problemáticas. Así, la cualificación del problema de investigación es resultado del diálogo de saberes entre los diversos actores, en pleno reconocimiento del contexto social, y con una clara intención de impacto. </w:t>
      </w:r>
    </w:p>
    <w:p w14:paraId="35E3B63A" w14:textId="77777777" w:rsidR="00E52B8A" w:rsidRDefault="00E52B8A">
      <w:pPr>
        <w:ind w:left="0" w:hanging="2"/>
        <w:jc w:val="both"/>
        <w:rPr>
          <w:rFonts w:ascii="Arial Narrow" w:eastAsia="Arial Narrow" w:hAnsi="Arial Narrow" w:cs="Arial Narrow"/>
        </w:rPr>
      </w:pPr>
    </w:p>
    <w:p w14:paraId="7BD2A622"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b/>
        </w:rPr>
        <w:t xml:space="preserve"> Lectura del entorno para medición y seguimiento.</w:t>
      </w:r>
      <w:r>
        <w:rPr>
          <w:rFonts w:ascii="Arial Narrow" w:eastAsia="Arial Narrow" w:hAnsi="Arial Narrow" w:cs="Arial Narrow"/>
        </w:rPr>
        <w:t xml:space="preserve"> La actividad consiste en la realización de una lectura que incluya información sobre prácticas ciudadanas, estado actual de las problemáticas que se estudian, contexto social, económico, normativo y geográfico. Esta información se obtiene a través de fuentes primarias y secundarias, teniendo en cuenta que las voces de los actores locales son fundamentales para la comprensión del contexto. A partir de este ejercicio se definen los indicadores de seguimiento y resultado, tanto de la investigación como de su impacto en los actores participantes. </w:t>
      </w:r>
    </w:p>
    <w:p w14:paraId="5B3C691A" w14:textId="77777777" w:rsidR="00E52B8A" w:rsidRDefault="00E52B8A">
      <w:pPr>
        <w:ind w:left="0" w:hanging="2"/>
        <w:jc w:val="both"/>
        <w:rPr>
          <w:rFonts w:ascii="Arial Narrow" w:eastAsia="Arial Narrow" w:hAnsi="Arial Narrow" w:cs="Arial Narrow"/>
        </w:rPr>
      </w:pPr>
    </w:p>
    <w:p w14:paraId="3798E2F0"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 xml:space="preserve">▪ </w:t>
      </w:r>
      <w:r>
        <w:rPr>
          <w:rFonts w:ascii="Arial Narrow" w:eastAsia="Arial Narrow" w:hAnsi="Arial Narrow" w:cs="Arial Narrow"/>
          <w:b/>
        </w:rPr>
        <w:t>Diseño y/o adaptación de metodologías participativas.</w:t>
      </w:r>
      <w:r>
        <w:rPr>
          <w:rFonts w:ascii="Arial Narrow" w:eastAsia="Arial Narrow" w:hAnsi="Arial Narrow" w:cs="Arial Narrow"/>
        </w:rPr>
        <w:t xml:space="preserve"> En esta actividad se describen las fases y actividades dirigidas a la vinculación de diversos actores y a la </w:t>
      </w:r>
      <w:proofErr w:type="spellStart"/>
      <w:r>
        <w:rPr>
          <w:rFonts w:ascii="Arial Narrow" w:eastAsia="Arial Narrow" w:hAnsi="Arial Narrow" w:cs="Arial Narrow"/>
        </w:rPr>
        <w:t>co-elaboración</w:t>
      </w:r>
      <w:proofErr w:type="spellEnd"/>
      <w:r>
        <w:rPr>
          <w:rFonts w:ascii="Arial Narrow" w:eastAsia="Arial Narrow" w:hAnsi="Arial Narrow" w:cs="Arial Narrow"/>
        </w:rPr>
        <w:t xml:space="preserve"> de cada uno de los insumos y productos del proceso, así como la generación o vinculación a redes o alianzas. Es importante que se establezcan escenarios pertinentes de participación. Aquí no sólo el diseño de nuevas metodologías sino la adaptación de metodologías participativas como son:  apreciación, influencia, control, A-I-C; búsqueda del futuro; marco lógico; espacio </w:t>
      </w:r>
      <w:proofErr w:type="gramStart"/>
      <w:r>
        <w:rPr>
          <w:rFonts w:ascii="Arial Narrow" w:eastAsia="Arial Narrow" w:hAnsi="Arial Narrow" w:cs="Arial Narrow"/>
        </w:rPr>
        <w:t>abierto;  investigación</w:t>
      </w:r>
      <w:proofErr w:type="gramEnd"/>
      <w:r>
        <w:rPr>
          <w:rFonts w:ascii="Arial Narrow" w:eastAsia="Arial Narrow" w:hAnsi="Arial Narrow" w:cs="Arial Narrow"/>
        </w:rPr>
        <w:t xml:space="preserve"> acción participativa, o IAP; evaluación rural participativa, o ERP; mesas de trabajo, teoría del cambio, entre otras que puedan ser beneficiosas para la ejecución del proyecto.</w:t>
      </w:r>
    </w:p>
    <w:p w14:paraId="7F46D884" w14:textId="77777777" w:rsidR="00E52B8A" w:rsidRDefault="00E52B8A">
      <w:pPr>
        <w:ind w:left="0" w:hanging="2"/>
        <w:jc w:val="both"/>
        <w:rPr>
          <w:rFonts w:ascii="Arial Narrow" w:eastAsia="Arial Narrow" w:hAnsi="Arial Narrow" w:cs="Arial Narrow"/>
        </w:rPr>
      </w:pPr>
    </w:p>
    <w:p w14:paraId="5BED3D28"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 xml:space="preserve">▪ </w:t>
      </w:r>
      <w:r>
        <w:rPr>
          <w:rFonts w:ascii="Arial Narrow" w:eastAsia="Arial Narrow" w:hAnsi="Arial Narrow" w:cs="Arial Narrow"/>
          <w:b/>
        </w:rPr>
        <w:t>Recolección y organización de la información</w:t>
      </w:r>
      <w:r>
        <w:rPr>
          <w:rFonts w:ascii="Arial Narrow" w:eastAsia="Arial Narrow" w:hAnsi="Arial Narrow" w:cs="Arial Narrow"/>
        </w:rPr>
        <w:t xml:space="preserve"> Como actividades de investigación, la observación, indagación, recolección de datos, análisis de información, entre otras, deben realizarse de manera conjunta entre los diversos actores. </w:t>
      </w:r>
    </w:p>
    <w:p w14:paraId="37501574" w14:textId="77777777" w:rsidR="00E52B8A" w:rsidRDefault="00E52B8A">
      <w:pPr>
        <w:ind w:left="0" w:hanging="2"/>
        <w:jc w:val="both"/>
        <w:rPr>
          <w:rFonts w:ascii="Arial Narrow" w:eastAsia="Arial Narrow" w:hAnsi="Arial Narrow" w:cs="Arial Narrow"/>
        </w:rPr>
      </w:pPr>
    </w:p>
    <w:p w14:paraId="1653C887"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b/>
        </w:rPr>
        <w:t xml:space="preserve"> Gestión con otros actores locales o regionales.</w:t>
      </w:r>
      <w:r>
        <w:rPr>
          <w:rFonts w:ascii="Arial Narrow" w:eastAsia="Arial Narrow" w:hAnsi="Arial Narrow" w:cs="Arial Narrow"/>
        </w:rPr>
        <w:t xml:space="preserve"> Identificación de actores externos que aporten al proyecto en cualquiera de sus etapas, y que puedan participar y contribuir en la estrategia de sostenibilidad. </w:t>
      </w:r>
    </w:p>
    <w:p w14:paraId="27409E2A" w14:textId="77777777" w:rsidR="00E52B8A" w:rsidRDefault="00E52B8A">
      <w:pPr>
        <w:ind w:left="0" w:hanging="2"/>
        <w:jc w:val="both"/>
        <w:rPr>
          <w:rFonts w:ascii="Arial Narrow" w:eastAsia="Arial Narrow" w:hAnsi="Arial Narrow" w:cs="Arial Narrow"/>
        </w:rPr>
      </w:pPr>
    </w:p>
    <w:p w14:paraId="750070CB"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 xml:space="preserve">▪ </w:t>
      </w:r>
      <w:r>
        <w:rPr>
          <w:rFonts w:ascii="Arial Narrow" w:eastAsia="Arial Narrow" w:hAnsi="Arial Narrow" w:cs="Arial Narrow"/>
          <w:b/>
        </w:rPr>
        <w:t>Jornada de intercambio de saberes y conocimientos.</w:t>
      </w:r>
      <w:r>
        <w:rPr>
          <w:rFonts w:ascii="Arial Narrow" w:eastAsia="Arial Narrow" w:hAnsi="Arial Narrow" w:cs="Arial Narrow"/>
        </w:rPr>
        <w:t xml:space="preserve"> Estas actividades permiten que los diversos actores, socialicen ideas, propuestas y soluciones mediadas por CTeI para fortalecer, solucionar o mejorar el asunto de interés seleccionado para la investigación. </w:t>
      </w:r>
    </w:p>
    <w:p w14:paraId="2CF41D26" w14:textId="77777777" w:rsidR="00E52B8A" w:rsidRDefault="00E52B8A">
      <w:pPr>
        <w:ind w:left="0" w:hanging="2"/>
        <w:jc w:val="both"/>
        <w:rPr>
          <w:rFonts w:ascii="Arial Narrow" w:eastAsia="Arial Narrow" w:hAnsi="Arial Narrow" w:cs="Arial Narrow"/>
        </w:rPr>
      </w:pPr>
    </w:p>
    <w:p w14:paraId="2C0F08F5"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 xml:space="preserve">▪ </w:t>
      </w:r>
      <w:r>
        <w:rPr>
          <w:rFonts w:ascii="Arial Narrow" w:eastAsia="Arial Narrow" w:hAnsi="Arial Narrow" w:cs="Arial Narrow"/>
          <w:b/>
        </w:rPr>
        <w:t>Presentación del producto</w:t>
      </w:r>
      <w:r>
        <w:rPr>
          <w:rFonts w:ascii="Arial Narrow" w:eastAsia="Arial Narrow" w:hAnsi="Arial Narrow" w:cs="Arial Narrow"/>
        </w:rPr>
        <w:t xml:space="preserve">. Actividad que permite presentar los resultados a otros actores académicos y sociales con el objetivo de recibir realimentación y propuestas para su sostenibilidad. Los actores participantes son quienes, de manera conjunta, seleccionan el formato para presentarlo. </w:t>
      </w:r>
    </w:p>
    <w:p w14:paraId="57D763C9" w14:textId="77777777" w:rsidR="00E52B8A" w:rsidRDefault="00E52B8A">
      <w:pPr>
        <w:ind w:left="0" w:hanging="2"/>
        <w:jc w:val="both"/>
        <w:rPr>
          <w:rFonts w:ascii="Arial Narrow" w:eastAsia="Arial Narrow" w:hAnsi="Arial Narrow" w:cs="Arial Narrow"/>
        </w:rPr>
      </w:pPr>
    </w:p>
    <w:p w14:paraId="7D1C0C7A"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 xml:space="preserve">▪ </w:t>
      </w:r>
      <w:r>
        <w:rPr>
          <w:rFonts w:ascii="Arial Narrow" w:eastAsia="Arial Narrow" w:hAnsi="Arial Narrow" w:cs="Arial Narrow"/>
          <w:b/>
        </w:rPr>
        <w:t>Sistematización del proceso</w:t>
      </w:r>
      <w:r>
        <w:rPr>
          <w:rFonts w:ascii="Arial Narrow" w:eastAsia="Arial Narrow" w:hAnsi="Arial Narrow" w:cs="Arial Narrow"/>
        </w:rPr>
        <w:t xml:space="preserve">. El proceso de investigación con enfoque de Apropiación social del conocimiento debe ser sistematizado de manera colaborativa. Se recomienda considerar múltiples formatos para la sistematización, y la definición de los mismos será acordada por los participantes. </w:t>
      </w:r>
    </w:p>
    <w:p w14:paraId="3817AB31" w14:textId="77777777" w:rsidR="00E52B8A" w:rsidRDefault="00E52B8A">
      <w:pPr>
        <w:ind w:left="0" w:hanging="2"/>
        <w:jc w:val="both"/>
        <w:rPr>
          <w:rFonts w:ascii="Arial Narrow" w:eastAsia="Arial Narrow" w:hAnsi="Arial Narrow" w:cs="Arial Narrow"/>
        </w:rPr>
      </w:pPr>
    </w:p>
    <w:p w14:paraId="7F0F4ED7"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Adaptado de (Ministerio de Ciencia, Anexo1 Convocatoria Nacional para el Reconocimiento y Medición de Grupos de Investigación, Desarrollo Tecnológico e Innovación, 2021, pág. 80))</w:t>
      </w:r>
    </w:p>
    <w:p w14:paraId="0950785C" w14:textId="77777777" w:rsidR="00E52B8A" w:rsidRDefault="00E52B8A">
      <w:pPr>
        <w:ind w:left="0" w:hanging="2"/>
        <w:jc w:val="both"/>
        <w:rPr>
          <w:rFonts w:ascii="Arial Narrow" w:eastAsia="Arial Narrow" w:hAnsi="Arial Narrow" w:cs="Arial Narrow"/>
        </w:rPr>
      </w:pPr>
    </w:p>
    <w:p w14:paraId="6F260469" w14:textId="77777777" w:rsidR="00E52B8A" w:rsidRDefault="00746F53">
      <w:pPr>
        <w:ind w:left="0" w:hanging="2"/>
        <w:jc w:val="both"/>
        <w:rPr>
          <w:rFonts w:ascii="Arial Narrow" w:eastAsia="Arial Narrow" w:hAnsi="Arial Narrow" w:cs="Arial Narrow"/>
          <w:b/>
        </w:rPr>
      </w:pPr>
      <w:r>
        <w:rPr>
          <w:rFonts w:ascii="Arial Narrow" w:eastAsia="Arial Narrow" w:hAnsi="Arial Narrow" w:cs="Arial Narrow"/>
          <w:b/>
        </w:rPr>
        <w:t>5.</w:t>
      </w:r>
      <w:r>
        <w:rPr>
          <w:rFonts w:ascii="Arial Narrow" w:eastAsia="Arial Narrow" w:hAnsi="Arial Narrow" w:cs="Arial Narrow"/>
          <w:b/>
        </w:rPr>
        <w:tab/>
        <w:t xml:space="preserve">EVIDENCIAS DEL PROCESO </w:t>
      </w:r>
    </w:p>
    <w:p w14:paraId="208429AE" w14:textId="77777777" w:rsidR="00E52B8A" w:rsidRDefault="00E52B8A">
      <w:pPr>
        <w:ind w:left="0" w:hanging="2"/>
        <w:jc w:val="both"/>
        <w:rPr>
          <w:rFonts w:ascii="Arial Narrow" w:eastAsia="Arial Narrow" w:hAnsi="Arial Narrow" w:cs="Arial Narrow"/>
        </w:rPr>
      </w:pPr>
    </w:p>
    <w:p w14:paraId="093FC3AB"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 xml:space="preserve">Partiendo de la metodología expuesta y de las líneas de trabajo en Apropiación Social del conocimiento, algunas evidencias que puedan dar cuenta de los procesos desarrollados bajo este enfoque son: </w:t>
      </w:r>
    </w:p>
    <w:p w14:paraId="6E422739" w14:textId="77777777" w:rsidR="00E52B8A" w:rsidRDefault="00E52B8A">
      <w:pPr>
        <w:ind w:left="0" w:hanging="2"/>
        <w:jc w:val="both"/>
        <w:rPr>
          <w:rFonts w:ascii="Arial Narrow" w:eastAsia="Arial Narrow" w:hAnsi="Arial Narrow" w:cs="Arial Narrow"/>
        </w:rPr>
      </w:pPr>
    </w:p>
    <w:p w14:paraId="7AE7A712"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a)</w:t>
      </w:r>
      <w:r>
        <w:rPr>
          <w:rFonts w:ascii="Arial Narrow" w:eastAsia="Arial Narrow" w:hAnsi="Arial Narrow" w:cs="Arial Narrow"/>
        </w:rPr>
        <w:tab/>
        <w:t xml:space="preserve">Informes de instrumentos de Diagnóstico. Resultado de los instrumentos implementados que dan cuenta de las particularidades del contexto, los individuos y colectivos que participaron en un proyecto con enfoque de ASC.  El diagnóstico involucra elementos demográficos, pero adicionalmente contempla las particularidades del contexto, los conceptos relevantes para el proceso particular, el mapeo de entidades territoriales, intereses, entre otros. </w:t>
      </w:r>
    </w:p>
    <w:p w14:paraId="24015700"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b)</w:t>
      </w:r>
      <w:r>
        <w:rPr>
          <w:rFonts w:ascii="Arial Narrow" w:eastAsia="Arial Narrow" w:hAnsi="Arial Narrow" w:cs="Arial Narrow"/>
        </w:rPr>
        <w:tab/>
        <w:t xml:space="preserve">Levantamiento de líneas base e indicadores de evaluación de procesos y resultados: Se debe generar una estrategia con un planteamiento técnico – metodológico sobre el desarrollo de instrumentos para el levantamiento de líneas de base que brinden un panorama sobre las problemáticas y condiciones del territorio a intervenir mediante procesos de apropiación social de CTeI y los </w:t>
      </w:r>
      <w:r>
        <w:rPr>
          <w:rFonts w:ascii="Arial Narrow" w:eastAsia="Arial Narrow" w:hAnsi="Arial Narrow" w:cs="Arial Narrow"/>
        </w:rPr>
        <w:lastRenderedPageBreak/>
        <w:t xml:space="preserve">indicadores propios de cada una de las etapas del proyectos, aquellos resultados en términos de ASC y los resultados de las soluciones científico-tecnológicas desarrolladas.  </w:t>
      </w:r>
    </w:p>
    <w:p w14:paraId="62735F68"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c)</w:t>
      </w:r>
      <w:r>
        <w:rPr>
          <w:rFonts w:ascii="Arial Narrow" w:eastAsia="Arial Narrow" w:hAnsi="Arial Narrow" w:cs="Arial Narrow"/>
        </w:rPr>
        <w:tab/>
        <w:t xml:space="preserve">Sistematización de experiencias: La sistematización de experiencias permite recuperar la memoria individual y colectiva de quienes participaron en el proceso de apropiación social de CTeI, con el propósito de reflexionar sobre las experiencias vividas en el desarrollo del proyecto y evidenciar lecciones aprendidas. La sistematización implica el diseño de un planteamiento metodológico que permita entrar a esa realidad, conocerla y documentar el proceso para facilitar su divulgación y apropiación social del conocimiento en diferentes contextos por parte de otros grupos sociales. Se espera que, como resultado del proceso de sistematización, se generé una propuesta metodológica para la continuidad del proceso y la exploración de diversas formas de financiación. Así mismo se puedan desarrollar innovaciones relacionadas con modelos participativos para la sistematización de experiencias de manera consecuente con el enfoque de ASC y productos de comunicación que permitan conocer el desarrollo de la misma. </w:t>
      </w:r>
    </w:p>
    <w:p w14:paraId="7F2012C3"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d)</w:t>
      </w:r>
      <w:r>
        <w:rPr>
          <w:rFonts w:ascii="Arial Narrow" w:eastAsia="Arial Narrow" w:hAnsi="Arial Narrow" w:cs="Arial Narrow"/>
        </w:rPr>
        <w:tab/>
        <w:t>Publicaciones científicas: Se espera que como uno de los resultados de la implementación del proyecto sea la publicación de artículos científicos que integren componentes tales como la generación de nuevo conocimiento, el desarrollo de soluciones científico- tecnológicas y la apropiación social de la CTeI. Estos artículos pueden ser escritos por los investigadores o en coautoría con miembros de las comunidades que participan en el proceso.</w:t>
      </w:r>
    </w:p>
    <w:p w14:paraId="0C7CB7F5"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e)</w:t>
      </w:r>
      <w:r>
        <w:rPr>
          <w:rFonts w:ascii="Arial Narrow" w:eastAsia="Arial Narrow" w:hAnsi="Arial Narrow" w:cs="Arial Narrow"/>
        </w:rPr>
        <w:tab/>
        <w:t xml:space="preserve">Formación de capacidades a mediadores y actores del territorio, dependiendo de los componentes del proyecto, para aquellos que involucren procesos de formación será importante generar espacios en la que metodológicamente se explique la incorporación del enfoque de ASC en el proyecto, así como espacios de divulgación de la política, sus componentes y herramientas. Para algunos actores se podrán generar espacios de formación en apropiación social del conocimiento que ayude a profundizar en la implementación de la política y sus principios en la planeación estratégica de proyectos. </w:t>
      </w:r>
    </w:p>
    <w:p w14:paraId="27A9E1E3"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f)</w:t>
      </w:r>
      <w:r>
        <w:rPr>
          <w:rFonts w:ascii="Arial Narrow" w:eastAsia="Arial Narrow" w:hAnsi="Arial Narrow" w:cs="Arial Narrow"/>
        </w:rPr>
        <w:tab/>
        <w:t xml:space="preserve">Plan de trabajo, considerando el escenario de participación en el que se gesta el plan de trabajo, este permite dar cuenta de las intenciones y negociaciones derivado de la participación y la implementación de las metodologías de </w:t>
      </w:r>
      <w:proofErr w:type="spellStart"/>
      <w:r>
        <w:rPr>
          <w:rFonts w:ascii="Arial Narrow" w:eastAsia="Arial Narrow" w:hAnsi="Arial Narrow" w:cs="Arial Narrow"/>
        </w:rPr>
        <w:t>co-creación</w:t>
      </w:r>
      <w:proofErr w:type="spellEnd"/>
      <w:r>
        <w:rPr>
          <w:rFonts w:ascii="Arial Narrow" w:eastAsia="Arial Narrow" w:hAnsi="Arial Narrow" w:cs="Arial Narrow"/>
        </w:rPr>
        <w:t>, siempre y cuando sea fruto del consenso y la toma de decisiones con los actores participantes del proyecto.</w:t>
      </w:r>
    </w:p>
    <w:p w14:paraId="3B4B7790"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g)</w:t>
      </w:r>
      <w:r>
        <w:rPr>
          <w:rFonts w:ascii="Arial Narrow" w:eastAsia="Arial Narrow" w:hAnsi="Arial Narrow" w:cs="Arial Narrow"/>
        </w:rPr>
        <w:tab/>
        <w:t xml:space="preserve">Metodologías participativas, si dentro de la ejecución del proyecto se crean o generan nuevas metodologías para que permitan la participación activa de los actores, en dónde se describan las fases, actividades y resultados obtenidos estos permitirán realizar reflexiones y productos específicos en la implementación y generación de conocimiento en ASC. </w:t>
      </w:r>
    </w:p>
    <w:p w14:paraId="5936AEB2"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h)</w:t>
      </w:r>
      <w:r>
        <w:rPr>
          <w:rFonts w:ascii="Arial Narrow" w:eastAsia="Arial Narrow" w:hAnsi="Arial Narrow" w:cs="Arial Narrow"/>
        </w:rPr>
        <w:tab/>
        <w:t xml:space="preserve">Diseños de soluciones científico-tecnológicas colaborativas realizados con los grupos de interés.  Algunas soluciones se dan de manera integral involucran intervenciones más allá de los artefactos sino adicionalmente involucran la modificación de procesos y prácticas. </w:t>
      </w:r>
    </w:p>
    <w:p w14:paraId="21D8C546"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i)</w:t>
      </w:r>
      <w:r>
        <w:rPr>
          <w:rFonts w:ascii="Arial Narrow" w:eastAsia="Arial Narrow" w:hAnsi="Arial Narrow" w:cs="Arial Narrow"/>
        </w:rPr>
        <w:tab/>
        <w:t xml:space="preserve">Prototipos de soluciones científico-tecnológicas colaborativas desarrollados con los grupos de interés. En algunos proyectos estas soluciones involucran artefactos, prototipos que generalmente involucran tecnología que es adaptada a las condiciones del contexto. Hacen parte de los prototipos los manuales, guías, instrucciones, diseños, etc. </w:t>
      </w:r>
    </w:p>
    <w:p w14:paraId="1414C368"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j)</w:t>
      </w:r>
      <w:r>
        <w:rPr>
          <w:rFonts w:ascii="Arial Narrow" w:eastAsia="Arial Narrow" w:hAnsi="Arial Narrow" w:cs="Arial Narrow"/>
        </w:rPr>
        <w:tab/>
        <w:t xml:space="preserve">Conformación y/o fortalecimiento de redes: Según las condiciones del contexto se propenderá por la conformación o fortalecimiento de las redes integradas por los líderes, mediadores, gestores, investigadores y demás actores, con el fin fortalecer la sostenibilidad de los procesos de apropiación y dar oportunidad de seguir posicionando la apropiación social de CTeI en el territorio. El trabajo de redes implica que el proyecto debe gestar espacios dónde se discuta la gobernanza de la red, acciones concretas y mantenimiento en el tiempo. </w:t>
      </w:r>
    </w:p>
    <w:p w14:paraId="7B99305D" w14:textId="77777777" w:rsidR="00E52B8A" w:rsidRDefault="00E52B8A">
      <w:pPr>
        <w:ind w:left="0" w:hanging="2"/>
        <w:jc w:val="both"/>
        <w:rPr>
          <w:rFonts w:ascii="Arial Narrow" w:eastAsia="Arial Narrow" w:hAnsi="Arial Narrow" w:cs="Arial Narrow"/>
        </w:rPr>
      </w:pPr>
    </w:p>
    <w:p w14:paraId="3EE159D8" w14:textId="77777777" w:rsidR="00E52B8A" w:rsidRDefault="00746F53">
      <w:pPr>
        <w:ind w:left="0" w:hanging="2"/>
        <w:jc w:val="both"/>
        <w:rPr>
          <w:rFonts w:ascii="Arial Narrow" w:eastAsia="Arial Narrow" w:hAnsi="Arial Narrow" w:cs="Arial Narrow"/>
          <w:b/>
        </w:rPr>
      </w:pPr>
      <w:r>
        <w:rPr>
          <w:rFonts w:ascii="Arial Narrow" w:eastAsia="Arial Narrow" w:hAnsi="Arial Narrow" w:cs="Arial Narrow"/>
          <w:b/>
        </w:rPr>
        <w:t>6.</w:t>
      </w:r>
      <w:r>
        <w:rPr>
          <w:rFonts w:ascii="Arial Narrow" w:eastAsia="Arial Narrow" w:hAnsi="Arial Narrow" w:cs="Arial Narrow"/>
          <w:b/>
        </w:rPr>
        <w:tab/>
        <w:t xml:space="preserve">PRODUCTOS DEL MODELO </w:t>
      </w:r>
    </w:p>
    <w:p w14:paraId="66408942" w14:textId="77777777" w:rsidR="00E52B8A" w:rsidRDefault="00E52B8A">
      <w:pPr>
        <w:ind w:left="0" w:hanging="2"/>
        <w:jc w:val="both"/>
        <w:rPr>
          <w:rFonts w:ascii="Arial Narrow" w:eastAsia="Arial Narrow" w:hAnsi="Arial Narrow" w:cs="Arial Narrow"/>
        </w:rPr>
      </w:pPr>
    </w:p>
    <w:p w14:paraId="54DEA85B"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 xml:space="preserve">Dentro del modelo de medición de grupos de investigación generado por el Ministerio de Ciencia tecnología e innovación, su apartado de Apropiación social del conocimiento. Reconoce a los diversos procesos que se pueden dar bajo este enfoque de intervención reconociendo: </w:t>
      </w:r>
    </w:p>
    <w:p w14:paraId="7CED7CCD" w14:textId="77777777" w:rsidR="00E52B8A" w:rsidRDefault="00746F53">
      <w:pPr>
        <w:ind w:left="0" w:hanging="2"/>
        <w:jc w:val="both"/>
        <w:rPr>
          <w:rFonts w:ascii="Arial Narrow" w:eastAsia="Arial Narrow" w:hAnsi="Arial Narrow" w:cs="Arial Narrow"/>
          <w:b/>
        </w:rPr>
      </w:pPr>
      <w:r>
        <w:rPr>
          <w:rFonts w:ascii="Arial Narrow" w:eastAsia="Arial Narrow" w:hAnsi="Arial Narrow" w:cs="Arial Narrow"/>
        </w:rPr>
        <w:t>●</w:t>
      </w:r>
      <w:r>
        <w:rPr>
          <w:rFonts w:ascii="Arial Narrow" w:eastAsia="Arial Narrow" w:hAnsi="Arial Narrow" w:cs="Arial Narrow"/>
        </w:rPr>
        <w:tab/>
      </w:r>
      <w:r>
        <w:rPr>
          <w:rFonts w:ascii="Arial Narrow" w:eastAsia="Arial Narrow" w:hAnsi="Arial Narrow" w:cs="Arial Narrow"/>
          <w:b/>
        </w:rPr>
        <w:t xml:space="preserve">Procesos de apropiación social del conocimiento para el fortalecimiento o solución de asuntos de interés social </w:t>
      </w:r>
    </w:p>
    <w:p w14:paraId="3DD9CB32"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 xml:space="preserve">Se entiende como el encuentro, interacción, </w:t>
      </w:r>
      <w:proofErr w:type="spellStart"/>
      <w:r>
        <w:rPr>
          <w:rFonts w:ascii="Arial Narrow" w:eastAsia="Arial Narrow" w:hAnsi="Arial Narrow" w:cs="Arial Narrow"/>
        </w:rPr>
        <w:t>co-creación</w:t>
      </w:r>
      <w:proofErr w:type="spellEnd"/>
      <w:r>
        <w:rPr>
          <w:rFonts w:ascii="Arial Narrow" w:eastAsia="Arial Narrow" w:hAnsi="Arial Narrow" w:cs="Arial Narrow"/>
        </w:rPr>
        <w:t xml:space="preserve"> entre un grupo de investigación y la ciudadanía, para construir propuestas colectivas mediante la ciencia, tecnología e innovación que atiendan asuntos de interés y situaciones presentes en sus contextos. El </w:t>
      </w:r>
      <w:r>
        <w:rPr>
          <w:rFonts w:ascii="Arial Narrow" w:eastAsia="Arial Narrow" w:hAnsi="Arial Narrow" w:cs="Arial Narrow"/>
        </w:rPr>
        <w:lastRenderedPageBreak/>
        <w:t xml:space="preserve">resultado de este proceso puede ser el fortalecimiento de una actividad, la solución a una problemática o el mejoramiento de una práctica social. </w:t>
      </w:r>
    </w:p>
    <w:p w14:paraId="6755076A" w14:textId="77777777" w:rsidR="00E52B8A" w:rsidRDefault="00746F53">
      <w:pPr>
        <w:ind w:left="0" w:hanging="2"/>
        <w:jc w:val="both"/>
        <w:rPr>
          <w:rFonts w:ascii="Arial Narrow" w:eastAsia="Arial Narrow" w:hAnsi="Arial Narrow" w:cs="Arial Narrow"/>
          <w:b/>
        </w:rPr>
      </w:pPr>
      <w:r>
        <w:rPr>
          <w:rFonts w:ascii="Arial Narrow" w:eastAsia="Arial Narrow" w:hAnsi="Arial Narrow" w:cs="Arial Narrow"/>
        </w:rPr>
        <w:t>●</w:t>
      </w:r>
      <w:r>
        <w:rPr>
          <w:rFonts w:ascii="Arial Narrow" w:eastAsia="Arial Narrow" w:hAnsi="Arial Narrow" w:cs="Arial Narrow"/>
        </w:rPr>
        <w:tab/>
      </w:r>
      <w:r>
        <w:rPr>
          <w:rFonts w:ascii="Arial Narrow" w:eastAsia="Arial Narrow" w:hAnsi="Arial Narrow" w:cs="Arial Narrow"/>
          <w:b/>
        </w:rPr>
        <w:t>Procesos de apropiación social del conocimiento para la generación de insumos de política pública y normatividad</w:t>
      </w:r>
    </w:p>
    <w:p w14:paraId="440A6DEF"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Este producto se entiende como el resultado del encuentro y diálogo de saberes y conocimientos entre un grupo de investigación y grupos poblacionales, que buscan aportar desde la ciencia, elementos de contextualización y argumentación sobre un tema específico de interés público, para el diseño, justificación o modificación de instrumentos de política pública y normatividad como, programas dirigidos a la población (como parte de programas de gobierno, desarrollo/implementación de políticas públicas), Corte Constitucional, Corte Suprema de Justicia, Consejo de Estado, Tribunales Superiores de Distritos Judiciales, Tribunales Administrativos, Consejo Superior de la Judicatura, Tribunales de Arbitraje o Tribunales Internacionales, para la toma de decisiones jurídicas.</w:t>
      </w:r>
    </w:p>
    <w:p w14:paraId="5F285066" w14:textId="77777777" w:rsidR="00E52B8A" w:rsidRDefault="00746F53">
      <w:pPr>
        <w:ind w:left="0" w:hanging="2"/>
        <w:jc w:val="both"/>
        <w:rPr>
          <w:rFonts w:ascii="Arial Narrow" w:eastAsia="Arial Narrow" w:hAnsi="Arial Narrow" w:cs="Arial Narrow"/>
          <w:b/>
        </w:rPr>
      </w:pPr>
      <w:r>
        <w:rPr>
          <w:rFonts w:ascii="Arial Narrow" w:eastAsia="Arial Narrow" w:hAnsi="Arial Narrow" w:cs="Arial Narrow"/>
        </w:rPr>
        <w:t>●</w:t>
      </w:r>
      <w:r>
        <w:rPr>
          <w:rFonts w:ascii="Arial Narrow" w:eastAsia="Arial Narrow" w:hAnsi="Arial Narrow" w:cs="Arial Narrow"/>
        </w:rPr>
        <w:tab/>
      </w:r>
      <w:r>
        <w:rPr>
          <w:rFonts w:ascii="Arial Narrow" w:eastAsia="Arial Narrow" w:hAnsi="Arial Narrow" w:cs="Arial Narrow"/>
          <w:b/>
        </w:rPr>
        <w:t>Procesos de Apropiación social del conocimiento para el fortalecimiento de cadenas productivas</w:t>
      </w:r>
    </w:p>
    <w:p w14:paraId="28A14C72"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 xml:space="preserve">Se entiende como el cambio y la transformación de eslabones o fases de la cadena productiva, a partir del encuentro entre un grupo de investigación y actores de los sectores productivo, mediado por el diálogo de saberes y conocimientos, y de la identificación colectiva de problemáticas y soluciones, dirigidas a la transformación de prácticas o al fortalecimiento, solución o mejoramiento de la cadena productiva. </w:t>
      </w:r>
    </w:p>
    <w:p w14:paraId="4EFE80C3" w14:textId="77777777" w:rsidR="00E52B8A" w:rsidRDefault="00746F53">
      <w:pPr>
        <w:ind w:left="0" w:hanging="2"/>
        <w:jc w:val="both"/>
        <w:rPr>
          <w:rFonts w:ascii="Arial Narrow" w:eastAsia="Arial Narrow" w:hAnsi="Arial Narrow" w:cs="Arial Narrow"/>
          <w:b/>
        </w:rPr>
      </w:pPr>
      <w:r>
        <w:rPr>
          <w:rFonts w:ascii="Arial Narrow" w:eastAsia="Arial Narrow" w:hAnsi="Arial Narrow" w:cs="Arial Narrow"/>
        </w:rPr>
        <w:t>●</w:t>
      </w:r>
      <w:r>
        <w:rPr>
          <w:rFonts w:ascii="Arial Narrow" w:eastAsia="Arial Narrow" w:hAnsi="Arial Narrow" w:cs="Arial Narrow"/>
        </w:rPr>
        <w:tab/>
      </w:r>
      <w:r>
        <w:rPr>
          <w:rFonts w:ascii="Arial Narrow" w:eastAsia="Arial Narrow" w:hAnsi="Arial Narrow" w:cs="Arial Narrow"/>
          <w:b/>
        </w:rPr>
        <w:t>Procesos de apropiación social del conocimiento resultado del trabajo conjunto entre un Centro de Ciencia y un grupo de investigación</w:t>
      </w:r>
    </w:p>
    <w:p w14:paraId="149EA065"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Se entiende como el resultado del trabajo colaborativo entre un Centro de Ciencia y un grupo de investigación para propiciar el diálogo de saberes y conocimientos científicos, y así generar nuevo conocimiento y Apropiación social mediante la ciencia, la tecnología y la innovación.</w:t>
      </w:r>
    </w:p>
    <w:p w14:paraId="247BF738"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(Ministerio de Ciencia, Anexo1 Convocatoria Nacional para el Reconocimiento y Medición de Grupos de Investigación, Desarrollo Tecnológico e Innovación, 2021, págs. 82-85)</w:t>
      </w:r>
    </w:p>
    <w:p w14:paraId="42C7DF7C" w14:textId="77777777" w:rsidR="00E52B8A" w:rsidRDefault="00E52B8A">
      <w:pPr>
        <w:ind w:left="0" w:hanging="2"/>
        <w:jc w:val="both"/>
        <w:rPr>
          <w:rFonts w:ascii="Arial Narrow" w:eastAsia="Arial Narrow" w:hAnsi="Arial Narrow" w:cs="Arial Narrow"/>
        </w:rPr>
      </w:pPr>
    </w:p>
    <w:p w14:paraId="08D55E1C"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 xml:space="preserve">Adicionalmente dentro del modelo de medición de grupos de investigación generado por el Ministerio de Ciencia tecnología e innovación, se encuentran los productos que hacen parte de las categorías de circulación y divulgación del conocimiento, estos se relacionan con el apartado de evidencias expuesto de manera previa y permite que estas sean reconocidas dentro del modelo: </w:t>
      </w:r>
    </w:p>
    <w:p w14:paraId="7C880546" w14:textId="77777777" w:rsidR="00E52B8A" w:rsidRDefault="00E52B8A">
      <w:pPr>
        <w:ind w:left="0" w:hanging="2"/>
        <w:jc w:val="both"/>
        <w:rPr>
          <w:rFonts w:ascii="Arial Narrow" w:eastAsia="Arial Narrow" w:hAnsi="Arial Narrow" w:cs="Arial Narrow"/>
        </w:rPr>
      </w:pPr>
    </w:p>
    <w:p w14:paraId="093F5BF9"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1.</w:t>
      </w:r>
      <w:r>
        <w:rPr>
          <w:rFonts w:ascii="Arial Narrow" w:eastAsia="Arial Narrow" w:hAnsi="Arial Narrow" w:cs="Arial Narrow"/>
        </w:rPr>
        <w:tab/>
        <w:t>Eventos científicos con componente de apropiación Participación en eventos científicos, tecnológicos y de innovación, como congresos, seminarios, foros, conversatorios, talleres, entre otros, dedicados a analizar y discutir casos de generación de nuevo conocimiento, en donde se permite a la ciudadanía asumir una postura crítica sobre las implicaciones y los alcances de las investigaciones científicas y de los desarrollos tecnológicos. Por tanto, estos eventos deben garantizar la participación no sólo de expertos sino de diversos actores sociales. Es fundamental que cuente con rigor académico, de modo que ofrezcan elementos para la discusión basada en información fidedigna, herramientas de juicio para la toma de decisiones en política pública.</w:t>
      </w:r>
    </w:p>
    <w:p w14:paraId="5EB81794"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2.</w:t>
      </w:r>
      <w:r>
        <w:rPr>
          <w:rFonts w:ascii="Arial Narrow" w:eastAsia="Arial Narrow" w:hAnsi="Arial Narrow" w:cs="Arial Narrow"/>
        </w:rPr>
        <w:tab/>
        <w:t>Participaciones en redes de conocimiento Estructura organizacional que articula diferentes instancias con capacidades en CTeI (Academia, Empresa, Estado, Sociedad Civil Organizada) en la cual cada una aporta a la construcción del conocimiento y a la innovación, desde sus diferentes saberes y competencias</w:t>
      </w:r>
    </w:p>
    <w:p w14:paraId="576D647A"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3.</w:t>
      </w:r>
      <w:r>
        <w:rPr>
          <w:rFonts w:ascii="Arial Narrow" w:eastAsia="Arial Narrow" w:hAnsi="Arial Narrow" w:cs="Arial Narrow"/>
        </w:rPr>
        <w:tab/>
        <w:t>Eventos artísticos, de arquitectura o de diseño con componentes de apropiación Son actividades que se organizan para establecer vínculos de comunicación con comunidades de diverso origen con el propósito desarrollar procesos de apropiación de las obras o productos de la creación o la investigación creación, en las que se pretende que la ciudadanía o los asistentes asuman una posición crítica sobre los alcances e impactos de las obras o productos.</w:t>
      </w:r>
    </w:p>
    <w:p w14:paraId="1AB482C0"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4.</w:t>
      </w:r>
      <w:r>
        <w:rPr>
          <w:rFonts w:ascii="Arial Narrow" w:eastAsia="Arial Narrow" w:hAnsi="Arial Narrow" w:cs="Arial Narrow"/>
        </w:rPr>
        <w:tab/>
        <w:t>Documentos de trabajo (</w:t>
      </w:r>
      <w:proofErr w:type="spellStart"/>
      <w:r>
        <w:rPr>
          <w:rFonts w:ascii="Arial Narrow" w:eastAsia="Arial Narrow" w:hAnsi="Arial Narrow" w:cs="Arial Narrow"/>
        </w:rPr>
        <w:t>working</w:t>
      </w:r>
      <w:proofErr w:type="spellEnd"/>
      <w:r>
        <w:rPr>
          <w:rFonts w:ascii="Arial Narrow" w:eastAsia="Arial Narrow" w:hAnsi="Arial Narrow" w:cs="Arial Narrow"/>
        </w:rPr>
        <w:t xml:space="preserve"> </w:t>
      </w:r>
      <w:proofErr w:type="spellStart"/>
      <w:r>
        <w:rPr>
          <w:rFonts w:ascii="Arial Narrow" w:eastAsia="Arial Narrow" w:hAnsi="Arial Narrow" w:cs="Arial Narrow"/>
        </w:rPr>
        <w:t>papers</w:t>
      </w:r>
      <w:proofErr w:type="spellEnd"/>
      <w:r>
        <w:rPr>
          <w:rFonts w:ascii="Arial Narrow" w:eastAsia="Arial Narrow" w:hAnsi="Arial Narrow" w:cs="Arial Narrow"/>
        </w:rPr>
        <w:t>) Los documentos de trabajo son documentos preliminares de carácter técnico o científico. Usualmente los autores elaboran documentos de trabajo para compartir ideas acerca de un tema o para recibir realimentación previa a una presentación formal con la comunidad científica o para publicar en una revista científica. Los documentos de trabajo son a menudo la base para otros trabajos relacionados y pueden ser citados por evaluaciones realizadas por pares</w:t>
      </w:r>
    </w:p>
    <w:p w14:paraId="1A08BED8"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5.</w:t>
      </w:r>
      <w:r>
        <w:rPr>
          <w:rFonts w:ascii="Arial Narrow" w:eastAsia="Arial Narrow" w:hAnsi="Arial Narrow" w:cs="Arial Narrow"/>
        </w:rPr>
        <w:tab/>
        <w:t>Informes finales de investigación Es un documento que presenta los resultados finales de investigación en los cuales se presentan los datos organizados y clasificados que fueron analizados y trabajados durante la investigación.</w:t>
      </w:r>
    </w:p>
    <w:p w14:paraId="5C8E15B2"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6.</w:t>
      </w:r>
      <w:r>
        <w:rPr>
          <w:rFonts w:ascii="Arial Narrow" w:eastAsia="Arial Narrow" w:hAnsi="Arial Narrow" w:cs="Arial Narrow"/>
        </w:rPr>
        <w:tab/>
        <w:t xml:space="preserve">Informes técnicos Informes técnicos resultado de estudios para el diseño de planes y políticas de ciencia o tecnología; de estudios de diagnóstico; de programas o proyectos científicos o tecnológicos; así como, del diseño de sistemas de información y servicios </w:t>
      </w:r>
      <w:r>
        <w:rPr>
          <w:rFonts w:ascii="Arial Narrow" w:eastAsia="Arial Narrow" w:hAnsi="Arial Narrow" w:cs="Arial Narrow"/>
        </w:rPr>
        <w:lastRenderedPageBreak/>
        <w:t>de procesamiento de datos de ciencia o tecnología que son el resultado de procesos de investigación que son únicos para un solo fin y sirven para la toma de decisiones en el Estado. Los entes gubernamentales a los que se refiere esta definición son aquellas entidades vinculadas al gobierno que atienden asuntos relacionados con la autoridad política de un Estado</w:t>
      </w:r>
    </w:p>
    <w:p w14:paraId="51E33477"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7.</w:t>
      </w:r>
      <w:r>
        <w:rPr>
          <w:rFonts w:ascii="Arial Narrow" w:eastAsia="Arial Narrow" w:hAnsi="Arial Narrow" w:cs="Arial Narrow"/>
        </w:rPr>
        <w:tab/>
        <w:t xml:space="preserve">Publicaciones editoriales no especializadas </w:t>
      </w:r>
    </w:p>
    <w:p w14:paraId="14609B2A"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A. Cartilla. Es un cuaderno pequeño y un escrito breve que presenta de manera sencilla y sucinta un tema, preferiblemente con ilustraciones y muy pedagógico. Extensión máxima de 25 páginas.</w:t>
      </w:r>
    </w:p>
    <w:p w14:paraId="592D5D3E"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B. Manual no especializado. Libro o folleto que recoge aspectos básicos y esenciales de una temática, permiten comprender mejor el funcionamiento de algo, o acceder, de manera ordenada y concisa, al conocimiento de algún tema o materia. Extensión máxima de 20 páginas.</w:t>
      </w:r>
    </w:p>
    <w:p w14:paraId="3C5EFC33"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8.</w:t>
      </w:r>
      <w:r>
        <w:rPr>
          <w:rFonts w:ascii="Arial Narrow" w:eastAsia="Arial Narrow" w:hAnsi="Arial Narrow" w:cs="Arial Narrow"/>
        </w:rPr>
        <w:tab/>
        <w:t xml:space="preserve">Producciones de contenido digital </w:t>
      </w:r>
    </w:p>
    <w:p w14:paraId="22FE00DA"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 xml:space="preserve">A. Audiovisuales. Se trata de producciones de contenidos para medios de comunicación de soporte audiovisual y en donde se pueda comprender la integración e interrelación plena entre lo auditivo y lo visual. Entre ellas se pueden enumerar las cápsulas de video, los videos animados, los documentales, argumentales, los contenidos de ficción y las demás producciones asociadas que estén sustentadas en este lenguaje. </w:t>
      </w:r>
    </w:p>
    <w:p w14:paraId="05737A40"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B. Sonoro. Se trata de producciones de contenidos para medios de soporte sonoro y/o radiofónico y en donde se puedan identificar creaciones que involucren este lenguaje para narrar diferentes tipos de contenidos; entre ellos, podcast, cápsulas radiales, programas radiales y demás producciones asociadas o formatos que estén relacionados. C. Recursos gráficos digitales. Se trata de producciones de contenidos para medios digitales en los que se diseñe y presente información gráfica como infografías y videografías que facilite el acceso a información o contenidos de forma clara.</w:t>
      </w:r>
    </w:p>
    <w:p w14:paraId="3A258E91"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9.</w:t>
      </w:r>
      <w:r>
        <w:rPr>
          <w:rFonts w:ascii="Arial Narrow" w:eastAsia="Arial Narrow" w:hAnsi="Arial Narrow" w:cs="Arial Narrow"/>
        </w:rPr>
        <w:tab/>
        <w:t>Manuales y Guías Especializadas Publicación especializada derivada de proyectos de investigación, donde se recogen los aspectos básicos o esenciales sobre los procedimientos, procesos, protocolos y técnicas que permiten comprender mejor el funcionamiento de algo o acceder de manera ordenada y concisa a su conocimiento. En esta definición se incluyen aquellos manuales o guías dirigidos a un público con conocimientos técnicos sobre algún área y cuyo propósito es implementar un procedimiento y/o metodología o transferir conocimiento técnico</w:t>
      </w:r>
    </w:p>
    <w:p w14:paraId="4DDB15AF"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(Ministerio de Ciencia, Anexo1 Convocatoria Nacional para el Reconocimiento y Medición de Grupos de Investigación, Desarrollo Tecnológico e Innovación, 2021, págs. 86-94)</w:t>
      </w:r>
    </w:p>
    <w:p w14:paraId="68DBBF93" w14:textId="77777777" w:rsidR="00E52B8A" w:rsidRDefault="00E52B8A">
      <w:pPr>
        <w:ind w:left="0" w:hanging="2"/>
        <w:jc w:val="both"/>
        <w:rPr>
          <w:rFonts w:ascii="Arial Narrow" w:eastAsia="Arial Narrow" w:hAnsi="Arial Narrow" w:cs="Arial Narrow"/>
        </w:rPr>
      </w:pPr>
    </w:p>
    <w:p w14:paraId="515164E9" w14:textId="77777777" w:rsidR="00E52B8A" w:rsidRDefault="00E52B8A">
      <w:pPr>
        <w:ind w:left="0" w:hanging="2"/>
        <w:jc w:val="both"/>
      </w:pPr>
    </w:p>
    <w:p w14:paraId="3A9917CF" w14:textId="77777777" w:rsidR="00E52B8A" w:rsidRDefault="00E52B8A">
      <w:pPr>
        <w:ind w:left="0" w:hanging="2"/>
        <w:jc w:val="both"/>
        <w:rPr>
          <w:rFonts w:ascii="Arial Narrow" w:eastAsia="Arial Narrow" w:hAnsi="Arial Narrow" w:cs="Arial Narrow"/>
        </w:rPr>
      </w:pPr>
    </w:p>
    <w:p w14:paraId="1E333FE3" w14:textId="77777777" w:rsidR="00E52B8A" w:rsidRPr="004A261D" w:rsidRDefault="00746F53" w:rsidP="004A261D">
      <w:pPr>
        <w:pStyle w:val="Listaconnmeros"/>
      </w:pPr>
      <w:r w:rsidRPr="004A261D">
        <w:rPr>
          <w:rFonts w:ascii="Arial Narrow" w:hAnsi="Arial Narrow"/>
          <w:b/>
        </w:rPr>
        <w:t xml:space="preserve">BIBLIOGRAFÍA </w:t>
      </w:r>
    </w:p>
    <w:p w14:paraId="2F269938" w14:textId="77777777" w:rsidR="00E52B8A" w:rsidRDefault="00E52B8A">
      <w:pPr>
        <w:ind w:left="0" w:hanging="2"/>
        <w:jc w:val="both"/>
        <w:rPr>
          <w:rFonts w:ascii="Arial Narrow" w:eastAsia="Arial Narrow" w:hAnsi="Arial Narrow" w:cs="Arial Narrow"/>
        </w:rPr>
      </w:pPr>
    </w:p>
    <w:p w14:paraId="76D0C432"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Ministerio de Ciencia, T. e. (2021). Anexo1 Convocatoria Nacional para el Reconocimiento y Medición de Grupos de Investigación, Desarrollo Tecnológico e Innovación. Obtenido de https://minciencias.gov.co/sites/default/files/upload/convocatoria/anexo_1_-_documento_conceptual_2021.pdf</w:t>
      </w:r>
    </w:p>
    <w:p w14:paraId="42039D9D"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Ministerio de Ciencia, T. e. (03 de 2021). Política Pública de Apropiación Social del Conocimiento en el marco de la Ciencia, la Tecnología e Innovación. Obtenido de https://minciencias.gov.co/sites/default/files/politica_publica_de_apropiacion_social_del_conocimiento.pdf</w:t>
      </w:r>
    </w:p>
    <w:p w14:paraId="1FC255CC"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Ministerio de Ciencia, T. e. (en proceso de publicación). Kit de herramientas para proyectos de investigación con enfoque de apropiación social del conocimiento (ASC)</w:t>
      </w:r>
    </w:p>
    <w:p w14:paraId="7D622AB4" w14:textId="77777777" w:rsidR="00E52B8A" w:rsidRDefault="00000000">
      <w:pPr>
        <w:ind w:left="0" w:hanging="2"/>
        <w:jc w:val="both"/>
        <w:rPr>
          <w:rFonts w:ascii="Arial Narrow" w:eastAsia="Arial Narrow" w:hAnsi="Arial Narrow" w:cs="Arial Narrow"/>
        </w:rPr>
      </w:pPr>
      <w:sdt>
        <w:sdtPr>
          <w:tag w:val="goog_rdk_0"/>
          <w:id w:val="700359011"/>
        </w:sdtPr>
        <w:sdtContent>
          <w:r w:rsidR="00746F53">
            <w:rPr>
              <w:rFonts w:ascii="Arial" w:eastAsia="Arial" w:hAnsi="Arial" w:cs="Arial"/>
            </w:rPr>
            <w:t>DAZA-CAICEDO, S., &amp; LOZANO BORDA, M. (2013). Actividades hacia “otros públicos”. Entre la difusión, la Apropiación y la gobernanza de la ciencia y la tecnología. En M. Salazar (Ed.), Colciencias cuarenta años. Entre la legitimidad, la normatividad y la práctica (pp. 280-354). Bogotá́ D.C: Observatorio Colombiano de Ciencia y Tecnología.</w:t>
          </w:r>
        </w:sdtContent>
      </w:sdt>
    </w:p>
    <w:p w14:paraId="3A0D330D" w14:textId="77777777" w:rsidR="00E52B8A" w:rsidRDefault="00746F53">
      <w:pPr>
        <w:ind w:left="0" w:hanging="2"/>
        <w:jc w:val="both"/>
        <w:rPr>
          <w:rFonts w:ascii="Arial Narrow" w:eastAsia="Arial Narrow" w:hAnsi="Arial Narrow" w:cs="Arial Narrow"/>
        </w:rPr>
      </w:pPr>
      <w:r>
        <w:rPr>
          <w:rFonts w:ascii="Arial Narrow" w:eastAsia="Arial Narrow" w:hAnsi="Arial Narrow" w:cs="Arial Narrow"/>
        </w:rPr>
        <w:t>LOZANO BORDA, M., &amp; PÉREZ-BUSTOS, T. (2012). La Apropiación social de la ciencia y la tecnología en la literatura iberoamericana. Una revisión entre 2000 y 2010. Redes, 18(35), 45-74.</w:t>
      </w:r>
    </w:p>
    <w:p w14:paraId="276C56B6" w14:textId="77777777" w:rsidR="00E52B8A" w:rsidRDefault="00E52B8A">
      <w:pPr>
        <w:ind w:left="0" w:hanging="2"/>
        <w:jc w:val="both"/>
        <w:rPr>
          <w:rFonts w:ascii="Arial Narrow" w:eastAsia="Arial Narrow" w:hAnsi="Arial Narrow" w:cs="Arial Narrow"/>
        </w:rPr>
      </w:pPr>
    </w:p>
    <w:p w14:paraId="0247478F" w14:textId="77777777" w:rsidR="00E52B8A" w:rsidRDefault="00E52B8A">
      <w:pPr>
        <w:ind w:left="0" w:hanging="2"/>
        <w:jc w:val="both"/>
        <w:rPr>
          <w:rFonts w:ascii="Arial Narrow" w:eastAsia="Arial Narrow" w:hAnsi="Arial Narrow" w:cs="Arial Narrow"/>
        </w:rPr>
      </w:pPr>
    </w:p>
    <w:sectPr w:rsidR="00E52B8A">
      <w:headerReference w:type="even" r:id="rId9"/>
      <w:headerReference w:type="default" r:id="rId10"/>
      <w:footerReference w:type="even" r:id="rId11"/>
      <w:footerReference w:type="default" r:id="rId12"/>
      <w:headerReference w:type="first" r:id="rId13"/>
      <w:footerReference w:type="first" r:id="rId14"/>
      <w:pgSz w:w="12240" w:h="15840"/>
      <w:pgMar w:top="1418" w:right="1134" w:bottom="141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8C22E" w14:textId="77777777" w:rsidR="004C3444" w:rsidRDefault="004C3444">
      <w:pPr>
        <w:spacing w:line="240" w:lineRule="auto"/>
        <w:ind w:left="0" w:hanging="2"/>
      </w:pPr>
      <w:r>
        <w:separator/>
      </w:r>
    </w:p>
  </w:endnote>
  <w:endnote w:type="continuationSeparator" w:id="0">
    <w:p w14:paraId="4D041E35" w14:textId="77777777" w:rsidR="004C3444" w:rsidRDefault="004C344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Bold">
    <w:charset w:val="00"/>
    <w:family w:val="auto"/>
    <w:pitch w:val="variable"/>
    <w:sig w:usb0="00000001" w:usb1="52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default"/>
    <w:sig w:usb0="F7FFAEFF" w:usb1="F9DFFFFF" w:usb2="0000007F" w:usb3="00000000" w:csb0="203F01FF" w:csb1="DFFF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6AEC7" w14:textId="77777777" w:rsidR="004A261D" w:rsidRDefault="004A261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AD6A7" w14:textId="77777777" w:rsidR="00E52B8A" w:rsidRDefault="00746F53">
    <w:pPr>
      <w:tabs>
        <w:tab w:val="center" w:pos="0"/>
        <w:tab w:val="right" w:pos="8504"/>
      </w:tabs>
      <w:ind w:left="0" w:hanging="2"/>
      <w:rPr>
        <w:rFonts w:ascii="Arial" w:eastAsia="Arial" w:hAnsi="Arial" w:cs="Arial"/>
        <w:sz w:val="16"/>
        <w:szCs w:val="16"/>
      </w:rPr>
    </w:pPr>
    <w:r>
      <w:rPr>
        <w:noProof/>
        <w:lang w:val="es-CO" w:eastAsia="es-CO"/>
      </w:rPr>
      <mc:AlternateContent>
        <mc:Choice Requires="wps">
          <w:drawing>
            <wp:anchor distT="45720" distB="45720" distL="114300" distR="114300" simplePos="0" relativeHeight="251659264" behindDoc="0" locked="0" layoutInCell="1" hidden="0" allowOverlap="1" wp14:anchorId="4DB65357" wp14:editId="66A7FD55">
              <wp:simplePos x="0" y="0"/>
              <wp:positionH relativeFrom="column">
                <wp:posOffset>50801</wp:posOffset>
              </wp:positionH>
              <wp:positionV relativeFrom="paragraph">
                <wp:posOffset>20321</wp:posOffset>
              </wp:positionV>
              <wp:extent cx="5945505" cy="256540"/>
              <wp:effectExtent l="0" t="0" r="0" b="0"/>
              <wp:wrapSquare wrapText="bothSides" distT="45720" distB="45720" distL="114300" distR="114300"/>
              <wp:docPr id="1039" name="Rectángulo 1039"/>
              <wp:cNvGraphicFramePr/>
              <a:graphic xmlns:a="http://schemas.openxmlformats.org/drawingml/2006/main">
                <a:graphicData uri="http://schemas.microsoft.com/office/word/2010/wordprocessingShape">
                  <wps:wsp>
                    <wps:cNvSpPr/>
                    <wps:spPr>
                      <a:xfrm>
                        <a:off x="2392298" y="3670780"/>
                        <a:ext cx="5907405" cy="218440"/>
                      </a:xfrm>
                      <a:prstGeom prst="rect">
                        <a:avLst/>
                      </a:prstGeom>
                      <a:noFill/>
                      <a:ln>
                        <a:noFill/>
                      </a:ln>
                    </wps:spPr>
                    <wps:txbx>
                      <w:txbxContent>
                        <w:p w14:paraId="10DAA8C8" w14:textId="77777777" w:rsidR="00E52B8A" w:rsidRDefault="00746F53">
                          <w:pPr>
                            <w:spacing w:line="240" w:lineRule="auto"/>
                            <w:jc w:val="center"/>
                          </w:pPr>
                          <w:r>
                            <w:rPr>
                              <w:rFonts w:ascii="Arial" w:eastAsia="Arial" w:hAnsi="Arial" w:cs="Arial"/>
                              <w:color w:val="000000"/>
                              <w:sz w:val="14"/>
                            </w:rPr>
                            <w:t xml:space="preserve">Av. Calle 26 # 57- 41 / 83 Torre 8 Piso 2 – PBX: </w:t>
                          </w:r>
                          <w:r>
                            <w:rPr>
                              <w:rFonts w:ascii="Arial" w:eastAsia="Arial" w:hAnsi="Arial" w:cs="Arial"/>
                              <w:color w:val="222222"/>
                              <w:sz w:val="14"/>
                              <w:highlight w:val="white"/>
                            </w:rPr>
                            <w:t>(+57) (601)</w:t>
                          </w:r>
                          <w:r>
                            <w:rPr>
                              <w:rFonts w:ascii="Arial" w:eastAsia="Arial" w:hAnsi="Arial" w:cs="Arial"/>
                              <w:color w:val="000000"/>
                              <w:sz w:val="14"/>
                            </w:rPr>
                            <w:t xml:space="preserve"> 6258480, Ext 2081 – Línea gratuita nacional 018000914446 – Bogotá D.C. Colombia</w:t>
                          </w:r>
                        </w:p>
                        <w:p w14:paraId="2F89A872" w14:textId="77777777" w:rsidR="00E52B8A" w:rsidRDefault="00E52B8A">
                          <w:pPr>
                            <w:spacing w:line="240" w:lineRule="auto"/>
                            <w:ind w:left="0" w:hanging="2"/>
                            <w:jc w:val="center"/>
                          </w:pPr>
                        </w:p>
                        <w:p w14:paraId="4F0FE233" w14:textId="77777777" w:rsidR="00E52B8A" w:rsidRDefault="00E52B8A">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Rectángulo 1039" o:spid="_x0000_s1026" style="position:absolute;margin-left:4pt;margin-top:1.6pt;width:468.15pt;height:20.2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" filled="f" stroked="f">
              <v:textbox inset="2.53958mm,1.2694mm,2.53958mm,1.2694mm">
                <w:txbxContent>
                  <w:p w:rsidR="00E52B8A" w:rsidRDefault="00746F53">
                    <w:pPr>
                      <w:spacing w:line="240" w:lineRule="auto"/>
                      <w:jc w:val="center"/>
                    </w:pPr>
                    <w:r>
                      <w:rPr>
                        <w:rFonts w:ascii="Arial" w:eastAsia="Arial" w:hAnsi="Arial" w:cs="Arial"/>
                        <w:color w:val="000000"/>
                        <w:sz w:val="14"/>
                      </w:rPr>
                      <w:t xml:space="preserve">Av. Calle 26 # 57- 41 / 83 Torre 8 Piso 2 – PBX: </w:t>
                    </w:r>
                    <w:r>
                      <w:rPr>
                        <w:rFonts w:ascii="Arial" w:eastAsia="Arial" w:hAnsi="Arial" w:cs="Arial"/>
                        <w:color w:val="222222"/>
                        <w:sz w:val="14"/>
                        <w:highlight w:val="white"/>
                      </w:rPr>
                      <w:t>(+57) (601)</w:t>
                    </w:r>
                    <w:r>
                      <w:rPr>
                        <w:rFonts w:ascii="Arial" w:eastAsia="Arial" w:hAnsi="Arial" w:cs="Arial"/>
                        <w:color w:val="000000"/>
                        <w:sz w:val="14"/>
                      </w:rPr>
                      <w:t xml:space="preserve"> 6258480, Ext 2081 – Línea gratuita nacional 018000914446 – Bogotá D.C. Colombia</w:t>
                    </w:r>
                  </w:p>
                  <w:p w:rsidR="00E52B8A" w:rsidRDefault="00E52B8A">
                    <w:pPr>
                      <w:spacing w:line="240" w:lineRule="auto"/>
                      <w:ind w:left="0" w:hanging="2"/>
                      <w:jc w:val="center"/>
                    </w:pPr>
                  </w:p>
                  <w:p w:rsidR="00E52B8A" w:rsidRDefault="00E52B8A">
                    <w:pPr>
                      <w:spacing w:line="240" w:lineRule="auto"/>
                      <w:ind w:left="0" w:hanging="2"/>
                    </w:pPr>
                  </w:p>
                </w:txbxContent>
              </v:textbox>
              <w10:wrap type="square"/>
            </v:rect>
          </w:pict>
        </mc:Fallback>
      </mc:AlternateContent>
    </w:r>
    <w:r>
      <w:rPr>
        <w:noProof/>
        <w:lang w:val="es-CO" w:eastAsia="es-CO"/>
      </w:rPr>
      <w:drawing>
        <wp:anchor distT="0" distB="0" distL="114300" distR="114300" simplePos="0" relativeHeight="251660288" behindDoc="0" locked="0" layoutInCell="1" hidden="0" allowOverlap="1" wp14:anchorId="55AE96B8" wp14:editId="25D8FFD1">
          <wp:simplePos x="0" y="0"/>
          <wp:positionH relativeFrom="column">
            <wp:posOffset>4619347</wp:posOffset>
          </wp:positionH>
          <wp:positionV relativeFrom="paragraph">
            <wp:posOffset>307975</wp:posOffset>
          </wp:positionV>
          <wp:extent cx="1139825" cy="695325"/>
          <wp:effectExtent l="0" t="0" r="0" b="0"/>
          <wp:wrapSquare wrapText="bothSides" distT="0" distB="0" distL="114300" distR="114300"/>
          <wp:docPr id="1043" name="image2.png" descr="Imagen que contiene Texto&#10;&#10;&#10;&#10;&#10;&#10;&#10;&#10;&#10;&#10;&#10;&#10;&#10;&#10;&#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Texto&#10;&#10;&#10;&#10;&#10;&#10;&#10;&#10;&#10;&#10;&#10;&#10;&#10;&#10;&#10;&#10;Descripción generada automáticamente"/>
                  <pic:cNvPicPr preferRelativeResize="0"/>
                </pic:nvPicPr>
                <pic:blipFill>
                  <a:blip r:embed="rId1"/>
                  <a:srcRect r="48351"/>
                  <a:stretch>
                    <a:fillRect/>
                  </a:stretch>
                </pic:blipFill>
                <pic:spPr>
                  <a:xfrm>
                    <a:off x="0" y="0"/>
                    <a:ext cx="1139825" cy="695325"/>
                  </a:xfrm>
                  <a:prstGeom prst="rect">
                    <a:avLst/>
                  </a:prstGeom>
                  <a:ln/>
                </pic:spPr>
              </pic:pic>
            </a:graphicData>
          </a:graphic>
        </wp:anchor>
      </w:drawing>
    </w:r>
  </w:p>
  <w:p w14:paraId="56B97CB7" w14:textId="77777777" w:rsidR="00E52B8A" w:rsidRDefault="00746F53">
    <w:pPr>
      <w:tabs>
        <w:tab w:val="center" w:pos="0"/>
        <w:tab w:val="right" w:pos="8504"/>
      </w:tabs>
      <w:ind w:left="0" w:hanging="2"/>
      <w:rPr>
        <w:sz w:val="16"/>
        <w:szCs w:val="16"/>
      </w:rPr>
    </w:pPr>
    <w:r>
      <w:rPr>
        <w:rFonts w:ascii="Arial Narrow" w:eastAsia="Arial Narrow" w:hAnsi="Arial Narrow" w:cs="Arial Narrow"/>
        <w:sz w:val="16"/>
        <w:szCs w:val="16"/>
      </w:rPr>
      <w:t>Código: M801PR01F01</w:t>
    </w:r>
  </w:p>
  <w:p w14:paraId="24F24D3A" w14:textId="77777777" w:rsidR="00E52B8A" w:rsidRDefault="00746F53">
    <w:pPr>
      <w:tabs>
        <w:tab w:val="center" w:pos="0"/>
        <w:tab w:val="right" w:pos="8504"/>
      </w:tabs>
      <w:ind w:left="0" w:hanging="2"/>
      <w:rPr>
        <w:rFonts w:ascii="Arial Narrow" w:eastAsia="Arial Narrow" w:hAnsi="Arial Narrow" w:cs="Arial Narrow"/>
        <w:sz w:val="16"/>
        <w:szCs w:val="16"/>
      </w:rPr>
    </w:pPr>
    <w:r>
      <w:rPr>
        <w:rFonts w:ascii="Arial Narrow" w:eastAsia="Arial Narrow" w:hAnsi="Arial Narrow" w:cs="Arial Narrow"/>
        <w:sz w:val="16"/>
        <w:szCs w:val="16"/>
      </w:rPr>
      <w:t>Versión: 01</w:t>
    </w:r>
  </w:p>
  <w:p w14:paraId="7E896E40" w14:textId="77777777" w:rsidR="00E52B8A" w:rsidRDefault="00746F53">
    <w:pPr>
      <w:tabs>
        <w:tab w:val="center" w:pos="0"/>
        <w:tab w:val="right" w:pos="8504"/>
      </w:tabs>
      <w:ind w:left="0" w:hanging="2"/>
      <w:rPr>
        <w:rFonts w:ascii="Arial Narrow" w:eastAsia="Arial Narrow" w:hAnsi="Arial Narrow" w:cs="Arial Narrow"/>
        <w:color w:val="808080"/>
        <w:sz w:val="16"/>
        <w:szCs w:val="16"/>
      </w:rPr>
    </w:pPr>
    <w:r>
      <w:rPr>
        <w:rFonts w:ascii="Arial Narrow" w:eastAsia="Arial Narrow" w:hAnsi="Arial Narrow" w:cs="Arial Narrow"/>
        <w:sz w:val="16"/>
        <w:szCs w:val="16"/>
      </w:rPr>
      <w:t>Vigente desde 2021-11-30</w:t>
    </w:r>
  </w:p>
  <w:p w14:paraId="795798B0" w14:textId="77777777" w:rsidR="00E52B8A" w:rsidRDefault="00746F53">
    <w:pPr>
      <w:tabs>
        <w:tab w:val="center" w:pos="0"/>
        <w:tab w:val="right" w:pos="8504"/>
      </w:tabs>
      <w:ind w:left="0" w:hanging="2"/>
      <w:jc w:val="center"/>
      <w:rPr>
        <w:rFonts w:ascii="Arial" w:eastAsia="Arial" w:hAnsi="Arial" w:cs="Arial"/>
        <w:sz w:val="16"/>
        <w:szCs w:val="16"/>
      </w:rPr>
    </w:pPr>
    <w:r>
      <w:rPr>
        <w:rFonts w:ascii="Arial" w:eastAsia="Arial" w:hAnsi="Arial" w:cs="Arial"/>
        <w:sz w:val="16"/>
        <w:szCs w:val="16"/>
      </w:rPr>
      <w:t xml:space="preserve">Página </w:t>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E42BF">
      <w:rPr>
        <w:rFonts w:ascii="Arial" w:eastAsia="Arial" w:hAnsi="Arial" w:cs="Arial"/>
        <w:noProof/>
        <w:sz w:val="16"/>
        <w:szCs w:val="16"/>
      </w:rPr>
      <w:t>1</w:t>
    </w:r>
    <w:r>
      <w:rPr>
        <w:rFonts w:ascii="Arial" w:eastAsia="Arial" w:hAnsi="Arial" w:cs="Arial"/>
        <w:sz w:val="16"/>
        <w:szCs w:val="16"/>
      </w:rPr>
      <w:fldChar w:fldCharType="end"/>
    </w:r>
    <w:r>
      <w:rPr>
        <w:rFonts w:ascii="Arial" w:eastAsia="Arial" w:hAnsi="Arial" w:cs="Arial"/>
        <w:sz w:val="16"/>
        <w:szCs w:val="16"/>
      </w:rPr>
      <w:t xml:space="preserve"> de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6E42BF">
      <w:rPr>
        <w:rFonts w:ascii="Arial" w:eastAsia="Arial" w:hAnsi="Arial" w:cs="Arial"/>
        <w:noProof/>
        <w:sz w:val="16"/>
        <w:szCs w:val="16"/>
      </w:rPr>
      <w:t>8</w:t>
    </w:r>
    <w:r>
      <w:rPr>
        <w:rFonts w:ascii="Arial" w:eastAsia="Arial" w:hAnsi="Arial" w:cs="Arial"/>
        <w:sz w:val="16"/>
        <w:szCs w:val="16"/>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A2C87" w14:textId="77777777" w:rsidR="004A261D" w:rsidRDefault="004A26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D5A7F" w14:textId="77777777" w:rsidR="004C3444" w:rsidRDefault="004C3444">
      <w:pPr>
        <w:spacing w:line="240" w:lineRule="auto"/>
        <w:ind w:left="0" w:hanging="2"/>
      </w:pPr>
      <w:r>
        <w:separator/>
      </w:r>
    </w:p>
  </w:footnote>
  <w:footnote w:type="continuationSeparator" w:id="0">
    <w:p w14:paraId="01294F2A" w14:textId="77777777" w:rsidR="004C3444" w:rsidRDefault="004C344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51A9A" w14:textId="77777777" w:rsidR="004A261D" w:rsidRDefault="004A261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454D2" w14:textId="0780CF57" w:rsidR="00E52B8A" w:rsidRDefault="004A261D" w:rsidP="004A261D">
    <w:pPr>
      <w:pBdr>
        <w:top w:val="nil"/>
        <w:left w:val="nil"/>
        <w:bottom w:val="nil"/>
        <w:right w:val="nil"/>
        <w:between w:val="nil"/>
      </w:pBdr>
      <w:spacing w:line="240" w:lineRule="auto"/>
      <w:ind w:leftChars="0" w:left="7200" w:firstLineChars="0" w:firstLine="720"/>
      <w:rPr>
        <w:rFonts w:ascii="Helvetica Neue" w:eastAsia="Helvetica Neue" w:hAnsi="Helvetica Neue" w:cs="Helvetica Neue"/>
        <w:b/>
        <w:color w:val="000000"/>
      </w:rPr>
    </w:pPr>
    <w:r>
      <w:rPr>
        <w:rFonts w:ascii="Arial Narrow" w:eastAsia="Arial Narrow" w:hAnsi="Arial Narrow" w:cs="Arial Narrow"/>
        <w:noProof/>
        <w:lang w:eastAsia="es-CO"/>
      </w:rPr>
      <w:drawing>
        <wp:inline distT="114300" distB="114300" distL="114300" distR="114300" wp14:anchorId="7FBEF10F" wp14:editId="5B32DC4F">
          <wp:extent cx="1247775" cy="1162050"/>
          <wp:effectExtent l="0" t="0" r="0" b="0"/>
          <wp:docPr id="1650975795" name="image2.png" descr="Logotip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956601303" name="image2.png" descr="Logotipo&#10;&#10;Descripción generada automáticamente con confianza baja"/>
                  <pic:cNvPicPr preferRelativeResize="0"/>
                </pic:nvPicPr>
                <pic:blipFill>
                  <a:blip r:embed="rId1"/>
                  <a:srcRect/>
                  <a:stretch>
                    <a:fillRect/>
                  </a:stretch>
                </pic:blipFill>
                <pic:spPr>
                  <a:xfrm>
                    <a:off x="0" y="0"/>
                    <a:ext cx="1247775" cy="1162050"/>
                  </a:xfrm>
                  <a:prstGeom prst="rect">
                    <a:avLst/>
                  </a:prstGeom>
                  <a:ln/>
                </pic:spPr>
              </pic:pic>
            </a:graphicData>
          </a:graphic>
        </wp:inline>
      </w:drawing>
    </w:r>
    <w:r w:rsidR="00746F53">
      <w:rPr>
        <w:rFonts w:ascii="Helvetica Neue" w:eastAsia="Helvetica Neue" w:hAnsi="Helvetica Neue" w:cs="Helvetica Neue"/>
        <w:b/>
        <w:color w:val="000000"/>
        <w:sz w:val="24"/>
        <w:szCs w:val="24"/>
      </w:rPr>
      <w:tab/>
    </w:r>
    <w:r w:rsidR="00746F53">
      <w:rPr>
        <w:rFonts w:ascii="Helvetica Neue" w:eastAsia="Helvetica Neue" w:hAnsi="Helvetica Neue" w:cs="Helvetica Neue"/>
        <w:b/>
        <w:color w:val="000000"/>
        <w:sz w:val="24"/>
        <w:szCs w:val="24"/>
      </w:rPr>
      <w:tab/>
    </w:r>
  </w:p>
  <w:p w14:paraId="4E26C259" w14:textId="77777777" w:rsidR="00E52B8A" w:rsidRDefault="00E52B8A">
    <w:pPr>
      <w:pBdr>
        <w:top w:val="nil"/>
        <w:left w:val="nil"/>
        <w:bottom w:val="nil"/>
        <w:right w:val="nil"/>
        <w:between w:val="nil"/>
      </w:pBdr>
      <w:ind w:left="0" w:hanging="2"/>
      <w:jc w:val="both"/>
      <w:rPr>
        <w:rFonts w:ascii="Helvetica Neue" w:eastAsia="Helvetica Neue" w:hAnsi="Helvetica Neue" w:cs="Helvetica Neue"/>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50A3B" w14:textId="77777777" w:rsidR="004A261D" w:rsidRDefault="004A26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74F29"/>
    <w:multiLevelType w:val="multilevel"/>
    <w:tmpl w:val="5C2CA01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6445F3A"/>
    <w:multiLevelType w:val="multilevel"/>
    <w:tmpl w:val="3F38B144"/>
    <w:lvl w:ilvl="0">
      <w:start w:val="7"/>
      <w:numFmt w:val="decimal"/>
      <w:pStyle w:val="Listaconnmeros"/>
      <w:lvlText w:val="%1."/>
      <w:lvlJc w:val="left"/>
      <w:pPr>
        <w:ind w:left="644" w:hanging="359"/>
      </w:pPr>
      <w:rPr>
        <w:rFonts w:hint="default"/>
        <w:color w:val="000000"/>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num w:numId="1" w16cid:durableId="2026322365">
    <w:abstractNumId w:val="1"/>
  </w:num>
  <w:num w:numId="2" w16cid:durableId="1413772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B8A"/>
    <w:rsid w:val="004A261D"/>
    <w:rsid w:val="004C3444"/>
    <w:rsid w:val="00592C69"/>
    <w:rsid w:val="006E42BF"/>
    <w:rsid w:val="00746F53"/>
    <w:rsid w:val="00E52B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62778"/>
  <w15:docId w15:val="{A88B0822-67C0-48AB-AB7C-709D2066B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CO"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3EF"/>
    <w:pPr>
      <w:overflowPunct w:val="0"/>
      <w:autoSpaceDE w:val="0"/>
      <w:spacing w:line="1" w:lineRule="atLeast"/>
      <w:ind w:leftChars="-1" w:left="-1" w:hangingChars="1"/>
      <w:textDirection w:val="btLr"/>
      <w:textAlignment w:val="baseline"/>
      <w:outlineLvl w:val="0"/>
    </w:pPr>
    <w:rPr>
      <w:position w:val="-1"/>
      <w:lang w:eastAsia="ar-SA"/>
    </w:rPr>
  </w:style>
  <w:style w:type="paragraph" w:styleId="Ttulo1">
    <w:name w:val="heading 1"/>
    <w:basedOn w:val="Normal"/>
    <w:next w:val="Normal"/>
    <w:link w:val="Ttulo1Car"/>
    <w:uiPriority w:val="9"/>
    <w:qFormat/>
    <w:rsid w:val="00737EC9"/>
    <w:pPr>
      <w:numPr>
        <w:numId w:val="2"/>
      </w:numPr>
      <w:overflowPunct/>
      <w:autoSpaceDE/>
      <w:spacing w:line="240" w:lineRule="auto"/>
      <w:ind w:leftChars="0" w:left="0" w:firstLineChars="0" w:firstLine="0"/>
      <w:jc w:val="both"/>
      <w:textDirection w:val="lrTb"/>
      <w:textAlignment w:val="auto"/>
    </w:pPr>
    <w:rPr>
      <w:rFonts w:ascii="Arial Narrow" w:eastAsia="Arial Narrow" w:hAnsi="Arial Narrow" w:cs="Arial Narrow"/>
      <w:b/>
      <w:lang w:eastAsia="es-CO"/>
    </w:rPr>
  </w:style>
  <w:style w:type="paragraph" w:styleId="Ttulo2">
    <w:name w:val="heading 2"/>
    <w:basedOn w:val="Normal"/>
    <w:next w:val="Normal"/>
    <w:link w:val="Ttulo2Car"/>
    <w:uiPriority w:val="9"/>
    <w:unhideWhenUsed/>
    <w:qFormat/>
    <w:rsid w:val="00690CB0"/>
    <w:pPr>
      <w:numPr>
        <w:ilvl w:val="1"/>
        <w:numId w:val="2"/>
      </w:numPr>
      <w:overflowPunct/>
      <w:autoSpaceDE/>
      <w:spacing w:line="240" w:lineRule="auto"/>
      <w:ind w:leftChars="0" w:left="0" w:firstLineChars="0" w:hanging="2"/>
      <w:textDirection w:val="lrTb"/>
      <w:textAlignment w:val="auto"/>
      <w:outlineLvl w:val="1"/>
    </w:pPr>
    <w:rPr>
      <w:rFonts w:ascii="Arial Narrow" w:eastAsia="Arial Narrow" w:hAnsi="Arial Narrow" w:cs="Arial Narrow"/>
      <w:b/>
      <w:lang w:eastAsia="es-CO"/>
    </w:rPr>
  </w:style>
  <w:style w:type="paragraph" w:styleId="Ttulo3">
    <w:name w:val="heading 3"/>
    <w:basedOn w:val="Normal"/>
    <w:next w:val="Normal"/>
    <w:link w:val="Ttulo3Car"/>
    <w:uiPriority w:val="9"/>
    <w:semiHidden/>
    <w:unhideWhenUsed/>
    <w:qFormat/>
    <w:rsid w:val="00EF5155"/>
    <w:pPr>
      <w:keepNext/>
      <w:keepLines/>
      <w:suppressAutoHyphens/>
      <w:spacing w:before="200" w:line="240" w:lineRule="auto"/>
      <w:ind w:leftChars="0" w:left="0" w:firstLineChars="0" w:firstLine="0"/>
      <w:textDirection w:val="lrTb"/>
      <w:outlineLvl w:val="2"/>
    </w:pPr>
    <w:rPr>
      <w:rFonts w:ascii="Cambria" w:hAnsi="Cambria"/>
      <w:b/>
      <w:bCs/>
      <w:color w:val="4F81BD"/>
      <w:position w:val="0"/>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Subttulo"/>
    <w:link w:val="TtuloCar"/>
    <w:uiPriority w:val="10"/>
    <w:qFormat/>
    <w:rsid w:val="00EF5155"/>
    <w:pPr>
      <w:suppressAutoHyphens/>
      <w:spacing w:line="240" w:lineRule="auto"/>
      <w:ind w:leftChars="0" w:left="0" w:firstLineChars="0" w:firstLine="0"/>
      <w:jc w:val="center"/>
      <w:textDirection w:val="lrTb"/>
      <w:outlineLvl w:val="9"/>
    </w:pPr>
    <w:rPr>
      <w:rFonts w:ascii="Helvetica-Bold" w:hAnsi="Helvetica-Bold"/>
      <w:b/>
      <w:color w:val="000000"/>
      <w:position w:val="0"/>
      <w:sz w:val="24"/>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nhideWhenUsed/>
    <w:rsid w:val="00C5213F"/>
    <w:pPr>
      <w:tabs>
        <w:tab w:val="center" w:pos="4419"/>
        <w:tab w:val="right" w:pos="8838"/>
      </w:tabs>
      <w:overflowPunct/>
      <w:autoSpaceDE/>
      <w:spacing w:line="240" w:lineRule="auto"/>
      <w:ind w:leftChars="0" w:left="0" w:firstLineChars="0" w:firstLine="0"/>
      <w:textDirection w:val="lrTb"/>
      <w:textAlignment w:val="auto"/>
      <w:outlineLvl w:val="9"/>
    </w:pPr>
    <w:rPr>
      <w:rFonts w:asciiTheme="minorHAnsi" w:eastAsiaTheme="minorHAnsi" w:hAnsiTheme="minorHAnsi" w:cstheme="minorBidi"/>
      <w:position w:val="0"/>
      <w:sz w:val="24"/>
      <w:szCs w:val="24"/>
      <w:lang w:eastAsia="en-US"/>
    </w:rPr>
  </w:style>
  <w:style w:type="character" w:customStyle="1" w:styleId="EncabezadoCar">
    <w:name w:val="Encabezado Car"/>
    <w:basedOn w:val="Fuentedeprrafopredeter"/>
    <w:link w:val="Encabezado"/>
    <w:rsid w:val="00C5213F"/>
  </w:style>
  <w:style w:type="paragraph" w:styleId="Piedepgina">
    <w:name w:val="footer"/>
    <w:basedOn w:val="Normal"/>
    <w:link w:val="PiedepginaCar"/>
    <w:unhideWhenUsed/>
    <w:rsid w:val="00C5213F"/>
    <w:pPr>
      <w:tabs>
        <w:tab w:val="center" w:pos="4419"/>
        <w:tab w:val="right" w:pos="8838"/>
      </w:tabs>
      <w:overflowPunct/>
      <w:autoSpaceDE/>
      <w:spacing w:line="240" w:lineRule="auto"/>
      <w:ind w:leftChars="0" w:left="0" w:firstLineChars="0" w:firstLine="0"/>
      <w:textDirection w:val="lrTb"/>
      <w:textAlignment w:val="auto"/>
      <w:outlineLvl w:val="9"/>
    </w:pPr>
    <w:rPr>
      <w:rFonts w:asciiTheme="minorHAnsi" w:eastAsiaTheme="minorHAnsi" w:hAnsiTheme="minorHAnsi" w:cstheme="minorBidi"/>
      <w:position w:val="0"/>
      <w:sz w:val="24"/>
      <w:szCs w:val="24"/>
      <w:lang w:eastAsia="en-US"/>
    </w:rPr>
  </w:style>
  <w:style w:type="character" w:customStyle="1" w:styleId="PiedepginaCar">
    <w:name w:val="Pie de página Car"/>
    <w:basedOn w:val="Fuentedeprrafopredeter"/>
    <w:link w:val="Piedepgina"/>
    <w:rsid w:val="00C5213F"/>
  </w:style>
  <w:style w:type="character" w:customStyle="1" w:styleId="Ttulo1Car">
    <w:name w:val="Título 1 Car"/>
    <w:basedOn w:val="Fuentedeprrafopredeter"/>
    <w:link w:val="Ttulo1"/>
    <w:uiPriority w:val="9"/>
    <w:rsid w:val="00737EC9"/>
    <w:rPr>
      <w:rFonts w:ascii="Arial Narrow" w:eastAsia="Arial Narrow" w:hAnsi="Arial Narrow" w:cs="Arial Narrow"/>
      <w:b/>
      <w:position w:val="-1"/>
      <w:sz w:val="20"/>
      <w:szCs w:val="20"/>
      <w:lang w:val="es-ES" w:eastAsia="es-CO"/>
    </w:rPr>
  </w:style>
  <w:style w:type="character" w:customStyle="1" w:styleId="Ttulo3Car">
    <w:name w:val="Título 3 Car"/>
    <w:basedOn w:val="Fuentedeprrafopredeter"/>
    <w:link w:val="Ttulo3"/>
    <w:uiPriority w:val="9"/>
    <w:semiHidden/>
    <w:rsid w:val="00EF5155"/>
    <w:rPr>
      <w:rFonts w:ascii="Cambria" w:eastAsia="Times New Roman" w:hAnsi="Cambria" w:cs="Times New Roman"/>
      <w:b/>
      <w:bCs/>
      <w:color w:val="4F81BD"/>
      <w:sz w:val="20"/>
      <w:szCs w:val="20"/>
      <w:lang w:eastAsia="ar-SA"/>
    </w:rPr>
  </w:style>
  <w:style w:type="character" w:styleId="Hipervnculo">
    <w:name w:val="Hyperlink"/>
    <w:uiPriority w:val="99"/>
    <w:rsid w:val="00EF5155"/>
    <w:rPr>
      <w:rFonts w:cs="Times New Roman"/>
      <w:color w:val="0000FF"/>
      <w:u w:val="single"/>
    </w:rPr>
  </w:style>
  <w:style w:type="paragraph" w:styleId="Textoindependiente">
    <w:name w:val="Body Text"/>
    <w:basedOn w:val="Normal"/>
    <w:link w:val="TextoindependienteCar"/>
    <w:rsid w:val="00EF5155"/>
    <w:pPr>
      <w:suppressAutoHyphens/>
      <w:spacing w:line="240" w:lineRule="auto"/>
      <w:ind w:leftChars="0" w:left="0" w:firstLineChars="0" w:firstLine="0"/>
      <w:jc w:val="both"/>
      <w:textDirection w:val="lrTb"/>
      <w:outlineLvl w:val="9"/>
    </w:pPr>
    <w:rPr>
      <w:rFonts w:ascii="Helvetica" w:hAnsi="Helvetica"/>
      <w:color w:val="000000"/>
      <w:position w:val="0"/>
      <w:sz w:val="24"/>
    </w:rPr>
  </w:style>
  <w:style w:type="character" w:customStyle="1" w:styleId="TextoindependienteCar">
    <w:name w:val="Texto independiente Car"/>
    <w:basedOn w:val="Fuentedeprrafopredeter"/>
    <w:link w:val="Textoindependiente"/>
    <w:rsid w:val="00EF5155"/>
    <w:rPr>
      <w:rFonts w:ascii="Helvetica" w:eastAsia="Times New Roman" w:hAnsi="Helvetica" w:cs="Times New Roman"/>
      <w:color w:val="000000"/>
      <w:szCs w:val="20"/>
      <w:lang w:eastAsia="ar-SA"/>
    </w:rPr>
  </w:style>
  <w:style w:type="character" w:customStyle="1" w:styleId="TtuloCar">
    <w:name w:val="Título Car"/>
    <w:basedOn w:val="Fuentedeprrafopredeter"/>
    <w:link w:val="Ttulo"/>
    <w:rsid w:val="00EF5155"/>
    <w:rPr>
      <w:rFonts w:ascii="Helvetica-Bold" w:eastAsia="Times New Roman" w:hAnsi="Helvetica-Bold" w:cs="Times New Roman"/>
      <w:b/>
      <w:color w:val="000000"/>
      <w:szCs w:val="20"/>
      <w:lang w:eastAsia="ar-SA"/>
    </w:rPr>
  </w:style>
  <w:style w:type="paragraph" w:customStyle="1" w:styleId="Textoindependiente21">
    <w:name w:val="Texto independiente 21"/>
    <w:basedOn w:val="Normal"/>
    <w:rsid w:val="00EF5155"/>
    <w:pPr>
      <w:suppressAutoHyphens/>
      <w:spacing w:line="240" w:lineRule="auto"/>
      <w:ind w:leftChars="0" w:left="0" w:firstLineChars="0" w:firstLine="0"/>
      <w:textDirection w:val="lrTb"/>
      <w:outlineLvl w:val="9"/>
    </w:pPr>
    <w:rPr>
      <w:rFonts w:ascii="Arial" w:hAnsi="Arial"/>
      <w:position w:val="0"/>
      <w:sz w:val="24"/>
    </w:rPr>
  </w:style>
  <w:style w:type="paragraph" w:customStyle="1" w:styleId="Textoindependiente31">
    <w:name w:val="Texto independiente 31"/>
    <w:basedOn w:val="Normal"/>
    <w:rsid w:val="00EF5155"/>
    <w:pPr>
      <w:widowControl w:val="0"/>
      <w:suppressAutoHyphens/>
      <w:spacing w:after="120" w:line="240" w:lineRule="auto"/>
      <w:ind w:leftChars="0" w:left="0" w:firstLineChars="0" w:firstLine="0"/>
      <w:jc w:val="both"/>
      <w:textDirection w:val="lrTb"/>
      <w:outlineLvl w:val="9"/>
    </w:pPr>
    <w:rPr>
      <w:rFonts w:ascii="Arial" w:hAnsi="Arial"/>
      <w:position w:val="0"/>
      <w:sz w:val="24"/>
    </w:rPr>
  </w:style>
  <w:style w:type="paragraph" w:styleId="Textonotapie">
    <w:name w:val="footnote text"/>
    <w:aliases w:val="texto de nota al pie,Texto nota pie Car1,Texto nota pie Car Car,texto de nota al pie Car Car,ft Car Car Car,Texto nota pie Car1 Car,Texto nota pie Car Car Car,texto de nota al pie Car Car Car Car,Nota a pie/Bibliog,ft,FA Fu,Car1 Car Car"/>
    <w:basedOn w:val="Normal"/>
    <w:link w:val="TextonotapieCar"/>
    <w:uiPriority w:val="99"/>
    <w:qFormat/>
    <w:rsid w:val="00EF5155"/>
    <w:pPr>
      <w:suppressAutoHyphens/>
      <w:spacing w:line="240" w:lineRule="auto"/>
      <w:ind w:leftChars="0" w:left="0" w:firstLineChars="0" w:firstLine="0"/>
      <w:textDirection w:val="lrTb"/>
      <w:outlineLvl w:val="9"/>
    </w:pPr>
    <w:rPr>
      <w:position w:val="0"/>
    </w:rPr>
  </w:style>
  <w:style w:type="character" w:customStyle="1" w:styleId="TextonotapieCar">
    <w:name w:val="Texto nota pie Car"/>
    <w:aliases w:val="texto de nota al pie Car,Texto nota pie Car1 Car1,Texto nota pie Car Car Car1,texto de nota al pie Car Car Car,ft Car Car Car Car,Texto nota pie Car1 Car Car,Texto nota pie Car Car Car Car,texto de nota al pie Car Car Car Car Car"/>
    <w:basedOn w:val="Fuentedeprrafopredeter"/>
    <w:link w:val="Textonotapie"/>
    <w:uiPriority w:val="99"/>
    <w:rsid w:val="00EF5155"/>
    <w:rPr>
      <w:rFonts w:ascii="Times New Roman" w:eastAsia="Times New Roman" w:hAnsi="Times New Roman" w:cs="Times New Roman"/>
      <w:sz w:val="20"/>
      <w:szCs w:val="20"/>
      <w:lang w:eastAsia="ar-SA"/>
    </w:rPr>
  </w:style>
  <w:style w:type="paragraph" w:customStyle="1" w:styleId="Listavistosa-nfasis13">
    <w:name w:val="Lista vistosa - Énfasis 13"/>
    <w:basedOn w:val="Normal"/>
    <w:uiPriority w:val="99"/>
    <w:qFormat/>
    <w:rsid w:val="00EF5155"/>
    <w:pPr>
      <w:overflowPunct/>
      <w:autoSpaceDE/>
      <w:spacing w:line="240" w:lineRule="auto"/>
      <w:ind w:leftChars="0" w:left="708" w:firstLineChars="0" w:firstLine="0"/>
      <w:textDirection w:val="lrTb"/>
      <w:textAlignment w:val="auto"/>
      <w:outlineLvl w:val="9"/>
    </w:pPr>
    <w:rPr>
      <w:position w:val="0"/>
      <w:sz w:val="24"/>
      <w:szCs w:val="24"/>
      <w:lang w:eastAsia="es-ES"/>
    </w:rPr>
  </w:style>
  <w:style w:type="paragraph" w:styleId="Prrafodelista">
    <w:name w:val="List Paragraph"/>
    <w:aliases w:val="Bullets,Chulito,Num Bullet 1,List Paragraph1,lp1,Bullet Number,List Paragraph11,lp11,Bullet 1,Use Case List Paragraph,Bullet List,FooterText,TIT 2 IND,Titulo parrafo,titulo 3,Llista Nivell1,Párrafo de lista1,Segundo nivel de viñetas,Ha"/>
    <w:basedOn w:val="Normal"/>
    <w:link w:val="PrrafodelistaCar"/>
    <w:uiPriority w:val="34"/>
    <w:qFormat/>
    <w:rsid w:val="00EF5155"/>
    <w:pPr>
      <w:suppressAutoHyphens/>
      <w:spacing w:line="240" w:lineRule="auto"/>
      <w:ind w:leftChars="0" w:left="720" w:firstLineChars="0" w:firstLine="0"/>
      <w:contextualSpacing/>
      <w:textDirection w:val="lrTb"/>
      <w:outlineLvl w:val="9"/>
    </w:pPr>
    <w:rPr>
      <w:position w:val="0"/>
    </w:rPr>
  </w:style>
  <w:style w:type="paragraph" w:styleId="Subttulo">
    <w:name w:val="Subtitle"/>
    <w:basedOn w:val="Normal"/>
    <w:next w:val="Normal"/>
    <w:link w:val="SubttuloCar"/>
    <w:pPr>
      <w:spacing w:line="240" w:lineRule="auto"/>
      <w:ind w:left="0"/>
    </w:pPr>
    <w:rPr>
      <w:rFonts w:ascii="Cambria" w:eastAsia="Cambria" w:hAnsi="Cambria" w:cs="Cambria"/>
      <w:i/>
      <w:color w:val="4F81BD"/>
      <w:sz w:val="24"/>
      <w:szCs w:val="24"/>
    </w:rPr>
  </w:style>
  <w:style w:type="character" w:customStyle="1" w:styleId="SubttuloCar">
    <w:name w:val="Subtítulo Car"/>
    <w:basedOn w:val="Fuentedeprrafopredeter"/>
    <w:link w:val="Subttulo"/>
    <w:uiPriority w:val="11"/>
    <w:rsid w:val="00EF5155"/>
    <w:rPr>
      <w:rFonts w:ascii="Cambria" w:eastAsia="Times New Roman" w:hAnsi="Cambria" w:cs="Times New Roman"/>
      <w:i/>
      <w:iCs/>
      <w:color w:val="4F81BD"/>
      <w:spacing w:val="15"/>
      <w:lang w:eastAsia="ar-SA"/>
    </w:rPr>
  </w:style>
  <w:style w:type="paragraph" w:styleId="Textodeglobo">
    <w:name w:val="Balloon Text"/>
    <w:basedOn w:val="Normal"/>
    <w:link w:val="TextodegloboCar"/>
    <w:uiPriority w:val="99"/>
    <w:semiHidden/>
    <w:unhideWhenUsed/>
    <w:rsid w:val="00EF5155"/>
    <w:pPr>
      <w:suppressAutoHyphens/>
      <w:spacing w:line="240" w:lineRule="auto"/>
      <w:ind w:leftChars="0" w:left="0" w:firstLineChars="0" w:firstLine="0"/>
      <w:textDirection w:val="lrTb"/>
      <w:outlineLvl w:val="9"/>
    </w:pPr>
    <w:rPr>
      <w:rFonts w:ascii="Tahoma" w:hAnsi="Tahoma" w:cs="Tahoma"/>
      <w:position w:val="0"/>
      <w:sz w:val="16"/>
      <w:szCs w:val="16"/>
    </w:rPr>
  </w:style>
  <w:style w:type="character" w:customStyle="1" w:styleId="TextodegloboCar">
    <w:name w:val="Texto de globo Car"/>
    <w:basedOn w:val="Fuentedeprrafopredeter"/>
    <w:link w:val="Textodeglobo"/>
    <w:uiPriority w:val="99"/>
    <w:semiHidden/>
    <w:rsid w:val="00EF5155"/>
    <w:rPr>
      <w:rFonts w:ascii="Tahoma" w:eastAsia="Times New Roman" w:hAnsi="Tahoma" w:cs="Tahoma"/>
      <w:sz w:val="16"/>
      <w:szCs w:val="16"/>
      <w:lang w:eastAsia="ar-SA"/>
    </w:rPr>
  </w:style>
  <w:style w:type="character" w:styleId="Refdecomentario">
    <w:name w:val="annotation reference"/>
    <w:uiPriority w:val="99"/>
    <w:semiHidden/>
    <w:unhideWhenUsed/>
    <w:rsid w:val="00EF5155"/>
    <w:rPr>
      <w:sz w:val="18"/>
      <w:szCs w:val="18"/>
    </w:rPr>
  </w:style>
  <w:style w:type="paragraph" w:styleId="Textocomentario">
    <w:name w:val="annotation text"/>
    <w:basedOn w:val="Normal"/>
    <w:link w:val="TextocomentarioCar"/>
    <w:uiPriority w:val="99"/>
    <w:unhideWhenUsed/>
    <w:rsid w:val="00EF5155"/>
    <w:pPr>
      <w:suppressAutoHyphens/>
      <w:spacing w:line="240" w:lineRule="auto"/>
      <w:ind w:leftChars="0" w:left="0" w:firstLineChars="0" w:firstLine="0"/>
      <w:textDirection w:val="lrTb"/>
      <w:outlineLvl w:val="9"/>
    </w:pPr>
    <w:rPr>
      <w:position w:val="0"/>
      <w:sz w:val="24"/>
      <w:szCs w:val="24"/>
    </w:rPr>
  </w:style>
  <w:style w:type="character" w:customStyle="1" w:styleId="TextocomentarioCar">
    <w:name w:val="Texto comentario Car"/>
    <w:basedOn w:val="Fuentedeprrafopredeter"/>
    <w:link w:val="Textocomentario"/>
    <w:uiPriority w:val="99"/>
    <w:rsid w:val="00EF5155"/>
    <w:rPr>
      <w:rFonts w:ascii="Times New Roman" w:eastAsia="Times New Roman" w:hAnsi="Times New Roman" w:cs="Times New Roman"/>
      <w:lang w:eastAsia="ar-SA"/>
    </w:rPr>
  </w:style>
  <w:style w:type="paragraph" w:styleId="Asuntodelcomentario">
    <w:name w:val="annotation subject"/>
    <w:basedOn w:val="Textocomentario"/>
    <w:next w:val="Textocomentario"/>
    <w:link w:val="AsuntodelcomentarioCar"/>
    <w:uiPriority w:val="99"/>
    <w:semiHidden/>
    <w:unhideWhenUsed/>
    <w:rsid w:val="00EF5155"/>
    <w:rPr>
      <w:b/>
      <w:bCs/>
      <w:sz w:val="20"/>
      <w:szCs w:val="20"/>
    </w:rPr>
  </w:style>
  <w:style w:type="character" w:customStyle="1" w:styleId="AsuntodelcomentarioCar">
    <w:name w:val="Asunto del comentario Car"/>
    <w:basedOn w:val="TextocomentarioCar"/>
    <w:link w:val="Asuntodelcomentario"/>
    <w:uiPriority w:val="99"/>
    <w:semiHidden/>
    <w:rsid w:val="00EF5155"/>
    <w:rPr>
      <w:rFonts w:ascii="Times New Roman" w:eastAsia="Times New Roman" w:hAnsi="Times New Roman" w:cs="Times New Roman"/>
      <w:b/>
      <w:bCs/>
      <w:sz w:val="20"/>
      <w:szCs w:val="20"/>
      <w:lang w:eastAsia="ar-SA"/>
    </w:rPr>
  </w:style>
  <w:style w:type="paragraph" w:customStyle="1" w:styleId="DefaultStyle">
    <w:name w:val="Default Style"/>
    <w:rsid w:val="00EF5155"/>
    <w:pPr>
      <w:suppressAutoHyphens/>
      <w:spacing w:after="200" w:line="100" w:lineRule="atLeast"/>
      <w:textAlignment w:val="baseline"/>
    </w:pPr>
    <w:rPr>
      <w:color w:val="000000"/>
    </w:rPr>
  </w:style>
  <w:style w:type="table" w:styleId="Tablaconcuadrcula">
    <w:name w:val="Table Grid"/>
    <w:basedOn w:val="Tablanormal"/>
    <w:uiPriority w:val="39"/>
    <w:rsid w:val="00EF5155"/>
    <w:rPr>
      <w:rFonts w:ascii="Calibri" w:eastAsia="Calibri" w:hAnsi="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EF5155"/>
    <w:pPr>
      <w:suppressAutoHyphens/>
      <w:overflowPunct w:val="0"/>
      <w:autoSpaceDE w:val="0"/>
      <w:textAlignment w:val="baseline"/>
    </w:pPr>
    <w:rPr>
      <w:rFonts w:ascii="Symbol" w:eastAsia="Arial" w:hAnsi="Symbol"/>
      <w:color w:val="000000"/>
      <w:lang w:eastAsia="ar-SA"/>
    </w:rPr>
  </w:style>
  <w:style w:type="paragraph" w:customStyle="1" w:styleId="Default">
    <w:name w:val="Default"/>
    <w:rsid w:val="00EF5155"/>
    <w:pPr>
      <w:autoSpaceDE w:val="0"/>
      <w:autoSpaceDN w:val="0"/>
      <w:adjustRightInd w:val="0"/>
    </w:pPr>
    <w:rPr>
      <w:rFonts w:ascii="Arial" w:eastAsia="Calibri" w:hAnsi="Arial" w:cs="Arial"/>
      <w:color w:val="000000"/>
    </w:rPr>
  </w:style>
  <w:style w:type="paragraph" w:styleId="NormalWeb">
    <w:name w:val="Normal (Web)"/>
    <w:basedOn w:val="Normal"/>
    <w:uiPriority w:val="99"/>
    <w:unhideWhenUsed/>
    <w:rsid w:val="00EF5155"/>
    <w:pPr>
      <w:overflowPunct/>
      <w:autoSpaceDE/>
      <w:spacing w:before="100" w:beforeAutospacing="1" w:after="100" w:afterAutospacing="1" w:line="240" w:lineRule="auto"/>
      <w:ind w:leftChars="0" w:left="0" w:firstLineChars="0" w:firstLine="0"/>
      <w:textDirection w:val="lrTb"/>
      <w:textAlignment w:val="auto"/>
      <w:outlineLvl w:val="9"/>
    </w:pPr>
    <w:rPr>
      <w:position w:val="0"/>
      <w:sz w:val="24"/>
      <w:szCs w:val="24"/>
      <w:lang w:eastAsia="es-CO"/>
    </w:rPr>
  </w:style>
  <w:style w:type="paragraph" w:styleId="Sinespaciado">
    <w:name w:val="No Spacing"/>
    <w:uiPriority w:val="1"/>
    <w:qFormat/>
    <w:rsid w:val="00EF5155"/>
    <w:rPr>
      <w:lang w:eastAsia="es-ES"/>
    </w:rPr>
  </w:style>
  <w:style w:type="paragraph" w:customStyle="1" w:styleId="Standard">
    <w:name w:val="Standard"/>
    <w:rsid w:val="00EF5155"/>
    <w:pPr>
      <w:suppressAutoHyphens/>
      <w:autoSpaceDN w:val="0"/>
      <w:textAlignment w:val="baseline"/>
    </w:pPr>
    <w:rPr>
      <w:kern w:val="3"/>
    </w:rPr>
  </w:style>
  <w:style w:type="character" w:styleId="CitaHTML">
    <w:name w:val="HTML Cite"/>
    <w:uiPriority w:val="99"/>
    <w:unhideWhenUsed/>
    <w:rsid w:val="00EF5155"/>
    <w:rPr>
      <w:i/>
      <w:iCs/>
    </w:rPr>
  </w:style>
  <w:style w:type="character" w:customStyle="1" w:styleId="PrrafodelistaCar">
    <w:name w:val="Párrafo de lista Car"/>
    <w:aliases w:val="Bullets Car,Chulito Car,Num Bullet 1 Car,List Paragraph1 Car,lp1 Car,Bullet Number Car,List Paragraph11 Car,lp11 Car,Bullet 1 Car,Use Case List Paragraph Car,Bullet List Car,FooterText Car,TIT 2 IND Car,Titulo parrafo Car,Ha Car"/>
    <w:link w:val="Prrafodelista"/>
    <w:uiPriority w:val="34"/>
    <w:qFormat/>
    <w:rsid w:val="00EF5155"/>
    <w:rPr>
      <w:rFonts w:ascii="Times New Roman" w:eastAsia="Times New Roman" w:hAnsi="Times New Roman" w:cs="Times New Roman"/>
      <w:sz w:val="20"/>
      <w:szCs w:val="20"/>
      <w:lang w:eastAsia="ar-SA"/>
    </w:rPr>
  </w:style>
  <w:style w:type="paragraph" w:customStyle="1" w:styleId="ERI">
    <w:name w:val="ERI"/>
    <w:basedOn w:val="Ttulo1"/>
    <w:link w:val="ERICar"/>
    <w:qFormat/>
    <w:rsid w:val="00EF5155"/>
    <w:pPr>
      <w:shd w:val="clear" w:color="auto" w:fill="008080"/>
      <w:suppressAutoHyphens/>
    </w:pPr>
    <w:rPr>
      <w:rFonts w:eastAsia="Times New Roman" w:cs="Arial"/>
      <w:b w:val="0"/>
      <w:color w:val="FFFFFF"/>
      <w:position w:val="0"/>
    </w:rPr>
  </w:style>
  <w:style w:type="paragraph" w:styleId="TtuloTDC">
    <w:name w:val="TOC Heading"/>
    <w:basedOn w:val="Ttulo1"/>
    <w:next w:val="Normal"/>
    <w:uiPriority w:val="39"/>
    <w:unhideWhenUsed/>
    <w:qFormat/>
    <w:rsid w:val="00EF5155"/>
    <w:pPr>
      <w:keepLines/>
      <w:shd w:val="clear" w:color="auto" w:fill="3366CC"/>
      <w:spacing w:line="259" w:lineRule="auto"/>
      <w:outlineLvl w:val="9"/>
    </w:pPr>
    <w:rPr>
      <w:rFonts w:eastAsia="Times New Roman" w:cs="Times New Roman"/>
      <w:b w:val="0"/>
      <w:bCs/>
      <w:color w:val="2E74B5"/>
      <w:position w:val="0"/>
    </w:rPr>
  </w:style>
  <w:style w:type="character" w:customStyle="1" w:styleId="ERICar">
    <w:name w:val="ERI Car"/>
    <w:link w:val="ERI"/>
    <w:rsid w:val="00EF5155"/>
    <w:rPr>
      <w:rFonts w:ascii="Arial Narrow" w:eastAsia="Times New Roman" w:hAnsi="Arial Narrow" w:cs="Arial"/>
      <w:color w:val="FFFFFF"/>
      <w:sz w:val="20"/>
      <w:szCs w:val="20"/>
      <w:shd w:val="clear" w:color="auto" w:fill="008080"/>
      <w:lang w:val="es-ES" w:eastAsia="es-CO"/>
    </w:rPr>
  </w:style>
  <w:style w:type="paragraph" w:styleId="TDC1">
    <w:name w:val="toc 1"/>
    <w:basedOn w:val="Normal"/>
    <w:next w:val="Normal"/>
    <w:autoRedefine/>
    <w:uiPriority w:val="39"/>
    <w:unhideWhenUsed/>
    <w:rsid w:val="00E907FC"/>
    <w:pPr>
      <w:tabs>
        <w:tab w:val="left" w:pos="600"/>
        <w:tab w:val="right" w:leader="dot" w:pos="9962"/>
      </w:tabs>
      <w:spacing w:before="120" w:after="120"/>
      <w:ind w:left="0" w:hanging="2"/>
    </w:pPr>
    <w:rPr>
      <w:rFonts w:asciiTheme="minorHAnsi" w:hAnsiTheme="minorHAnsi" w:cstheme="minorHAnsi"/>
      <w:b/>
      <w:bCs/>
      <w:caps/>
    </w:rPr>
  </w:style>
  <w:style w:type="character" w:customStyle="1" w:styleId="apple-converted-space">
    <w:name w:val="apple-converted-space"/>
    <w:rsid w:val="00EF5155"/>
  </w:style>
  <w:style w:type="paragraph" w:styleId="Bibliografa">
    <w:name w:val="Bibliography"/>
    <w:basedOn w:val="Normal"/>
    <w:next w:val="Normal"/>
    <w:uiPriority w:val="37"/>
    <w:unhideWhenUsed/>
    <w:rsid w:val="00EF5155"/>
    <w:pPr>
      <w:suppressAutoHyphens/>
      <w:spacing w:line="240" w:lineRule="auto"/>
      <w:ind w:leftChars="0" w:left="0" w:firstLineChars="0" w:firstLine="0"/>
      <w:textDirection w:val="lrTb"/>
      <w:outlineLvl w:val="9"/>
    </w:pPr>
    <w:rPr>
      <w:position w:val="0"/>
    </w:rPr>
  </w:style>
  <w:style w:type="character" w:customStyle="1" w:styleId="PuestoCar">
    <w:name w:val="Puesto Car"/>
    <w:rsid w:val="00EF5155"/>
    <w:rPr>
      <w:rFonts w:ascii="Helvetica-Bold" w:eastAsia="Times New Roman" w:hAnsi="Helvetica-Bold" w:cs="Times New Roman"/>
      <w:b/>
      <w:color w:val="000000"/>
      <w:sz w:val="24"/>
      <w:szCs w:val="20"/>
      <w:lang w:val="es-ES_tradnl" w:eastAsia="ar-SA"/>
    </w:rPr>
  </w:style>
  <w:style w:type="paragraph" w:customStyle="1" w:styleId="EstiloEstiloTtulo1LatinaArial11pt11pt">
    <w:name w:val="Estilo Estilo Título 1 + (Latina) Arial 11 pt + 11 pt"/>
    <w:basedOn w:val="Normal"/>
    <w:uiPriority w:val="99"/>
    <w:rsid w:val="00EF5155"/>
    <w:pPr>
      <w:keepNext/>
      <w:overflowPunct/>
      <w:autoSpaceDE/>
      <w:spacing w:line="240" w:lineRule="auto"/>
      <w:ind w:leftChars="0" w:left="0" w:firstLineChars="0" w:firstLine="0"/>
      <w:jc w:val="center"/>
      <w:textDirection w:val="lrTb"/>
      <w:textAlignment w:val="auto"/>
    </w:pPr>
    <w:rPr>
      <w:rFonts w:ascii="Arial" w:eastAsia="Arial Unicode MS" w:hAnsi="Arial"/>
      <w:b/>
      <w:bCs/>
      <w:position w:val="0"/>
      <w:sz w:val="22"/>
      <w:szCs w:val="24"/>
      <w:lang w:eastAsia="es-ES"/>
    </w:rPr>
  </w:style>
  <w:style w:type="paragraph" w:styleId="Listaconnmeros">
    <w:name w:val="List Number"/>
    <w:basedOn w:val="Normal"/>
    <w:rsid w:val="00EF5155"/>
    <w:pPr>
      <w:numPr>
        <w:numId w:val="1"/>
      </w:numPr>
      <w:suppressAutoHyphens/>
      <w:overflowPunct/>
      <w:autoSpaceDE/>
      <w:spacing w:line="240" w:lineRule="auto"/>
      <w:ind w:leftChars="0" w:left="0" w:firstLineChars="0" w:firstLine="0"/>
      <w:contextualSpacing/>
      <w:textDirection w:val="lrTb"/>
      <w:textAlignment w:val="auto"/>
      <w:outlineLvl w:val="9"/>
    </w:pPr>
    <w:rPr>
      <w:position w:val="0"/>
    </w:rPr>
  </w:style>
  <w:style w:type="character" w:customStyle="1" w:styleId="normaltextrun">
    <w:name w:val="normaltextrun"/>
    <w:basedOn w:val="Fuentedeprrafopredeter"/>
    <w:rsid w:val="00EF5155"/>
  </w:style>
  <w:style w:type="character" w:customStyle="1" w:styleId="eop">
    <w:name w:val="eop"/>
    <w:basedOn w:val="Fuentedeprrafopredeter"/>
    <w:rsid w:val="00EF5155"/>
  </w:style>
  <w:style w:type="paragraph" w:customStyle="1" w:styleId="paragraph">
    <w:name w:val="paragraph"/>
    <w:basedOn w:val="Normal"/>
    <w:rsid w:val="00EF5155"/>
    <w:pPr>
      <w:overflowPunct/>
      <w:autoSpaceDE/>
      <w:spacing w:before="100" w:beforeAutospacing="1" w:after="100" w:afterAutospacing="1" w:line="240" w:lineRule="auto"/>
      <w:ind w:leftChars="0" w:left="0" w:firstLineChars="0" w:firstLine="0"/>
      <w:textDirection w:val="lrTb"/>
      <w:textAlignment w:val="auto"/>
      <w:outlineLvl w:val="9"/>
    </w:pPr>
    <w:rPr>
      <w:position w:val="0"/>
      <w:sz w:val="24"/>
      <w:szCs w:val="24"/>
      <w:lang w:eastAsia="es-CO"/>
    </w:rPr>
  </w:style>
  <w:style w:type="character" w:customStyle="1" w:styleId="findhit">
    <w:name w:val="findhit"/>
    <w:basedOn w:val="Fuentedeprrafopredeter"/>
    <w:rsid w:val="00EF5155"/>
  </w:style>
  <w:style w:type="character" w:styleId="Refdenotaalpie">
    <w:name w:val="footnote reference"/>
    <w:aliases w:val="referencia nota al pie,Footnote symbol,Footnote,16 Point,Superscript 6 Point,ftref,BVI fnr,Footnote Reference Number,Footnote Reference_LVL6,Footnote Reference_LVL61,Footnote Reference_LVL62,Footnote Reference_LVL63,fr,Ref,F, BVI fnr"/>
    <w:link w:val="BVIfnrCharCharChar1CharCharCharCharCharCharChar1CharCharChar1Char"/>
    <w:uiPriority w:val="99"/>
    <w:unhideWhenUsed/>
    <w:qFormat/>
    <w:rsid w:val="00EF5155"/>
    <w:rPr>
      <w:vertAlign w:val="superscript"/>
    </w:rPr>
  </w:style>
  <w:style w:type="character" w:customStyle="1" w:styleId="Mencinsinresolver1">
    <w:name w:val="Mención sin resolver1"/>
    <w:uiPriority w:val="99"/>
    <w:semiHidden/>
    <w:unhideWhenUsed/>
    <w:rsid w:val="00EF5155"/>
    <w:rPr>
      <w:color w:val="605E5C"/>
      <w:shd w:val="clear" w:color="auto" w:fill="E1DFDD"/>
    </w:rPr>
  </w:style>
  <w:style w:type="paragraph" w:styleId="TDC2">
    <w:name w:val="toc 2"/>
    <w:basedOn w:val="Normal"/>
    <w:next w:val="Normal"/>
    <w:autoRedefine/>
    <w:uiPriority w:val="39"/>
    <w:unhideWhenUsed/>
    <w:rsid w:val="00C568F6"/>
    <w:pPr>
      <w:ind w:left="200"/>
    </w:pPr>
    <w:rPr>
      <w:rFonts w:asciiTheme="minorHAnsi" w:hAnsiTheme="minorHAnsi" w:cstheme="minorHAnsi"/>
      <w:smallCaps/>
    </w:rPr>
  </w:style>
  <w:style w:type="paragraph" w:styleId="TDC3">
    <w:name w:val="toc 3"/>
    <w:basedOn w:val="Normal"/>
    <w:next w:val="Normal"/>
    <w:autoRedefine/>
    <w:uiPriority w:val="39"/>
    <w:unhideWhenUsed/>
    <w:rsid w:val="00C568F6"/>
    <w:pPr>
      <w:ind w:left="400"/>
    </w:pPr>
    <w:rPr>
      <w:rFonts w:asciiTheme="minorHAnsi" w:hAnsiTheme="minorHAnsi" w:cstheme="minorHAnsi"/>
      <w:i/>
      <w:iCs/>
    </w:rPr>
  </w:style>
  <w:style w:type="paragraph" w:styleId="TDC4">
    <w:name w:val="toc 4"/>
    <w:basedOn w:val="Normal"/>
    <w:next w:val="Normal"/>
    <w:autoRedefine/>
    <w:uiPriority w:val="39"/>
    <w:unhideWhenUsed/>
    <w:rsid w:val="00C568F6"/>
    <w:pPr>
      <w:ind w:left="600"/>
    </w:pPr>
    <w:rPr>
      <w:rFonts w:asciiTheme="minorHAnsi" w:hAnsiTheme="minorHAnsi" w:cstheme="minorHAnsi"/>
      <w:sz w:val="18"/>
      <w:szCs w:val="18"/>
    </w:rPr>
  </w:style>
  <w:style w:type="paragraph" w:styleId="TDC5">
    <w:name w:val="toc 5"/>
    <w:basedOn w:val="Normal"/>
    <w:next w:val="Normal"/>
    <w:autoRedefine/>
    <w:uiPriority w:val="39"/>
    <w:unhideWhenUsed/>
    <w:rsid w:val="00C568F6"/>
    <w:pPr>
      <w:ind w:left="800"/>
    </w:pPr>
    <w:rPr>
      <w:rFonts w:asciiTheme="minorHAnsi" w:hAnsiTheme="minorHAnsi" w:cstheme="minorHAnsi"/>
      <w:sz w:val="18"/>
      <w:szCs w:val="18"/>
    </w:rPr>
  </w:style>
  <w:style w:type="paragraph" w:styleId="TDC6">
    <w:name w:val="toc 6"/>
    <w:basedOn w:val="Normal"/>
    <w:next w:val="Normal"/>
    <w:autoRedefine/>
    <w:uiPriority w:val="39"/>
    <w:unhideWhenUsed/>
    <w:rsid w:val="00C568F6"/>
    <w:pPr>
      <w:ind w:left="1000"/>
    </w:pPr>
    <w:rPr>
      <w:rFonts w:asciiTheme="minorHAnsi" w:hAnsiTheme="minorHAnsi" w:cstheme="minorHAnsi"/>
      <w:sz w:val="18"/>
      <w:szCs w:val="18"/>
    </w:rPr>
  </w:style>
  <w:style w:type="paragraph" w:styleId="TDC7">
    <w:name w:val="toc 7"/>
    <w:basedOn w:val="Normal"/>
    <w:next w:val="Normal"/>
    <w:autoRedefine/>
    <w:uiPriority w:val="39"/>
    <w:unhideWhenUsed/>
    <w:rsid w:val="00C568F6"/>
    <w:pPr>
      <w:ind w:left="1200"/>
    </w:pPr>
    <w:rPr>
      <w:rFonts w:asciiTheme="minorHAnsi" w:hAnsiTheme="minorHAnsi" w:cstheme="minorHAnsi"/>
      <w:sz w:val="18"/>
      <w:szCs w:val="18"/>
    </w:rPr>
  </w:style>
  <w:style w:type="paragraph" w:styleId="TDC8">
    <w:name w:val="toc 8"/>
    <w:basedOn w:val="Normal"/>
    <w:next w:val="Normal"/>
    <w:autoRedefine/>
    <w:uiPriority w:val="39"/>
    <w:unhideWhenUsed/>
    <w:rsid w:val="00C568F6"/>
    <w:pPr>
      <w:ind w:left="1400"/>
    </w:pPr>
    <w:rPr>
      <w:rFonts w:asciiTheme="minorHAnsi" w:hAnsiTheme="minorHAnsi" w:cstheme="minorHAnsi"/>
      <w:sz w:val="18"/>
      <w:szCs w:val="18"/>
    </w:rPr>
  </w:style>
  <w:style w:type="paragraph" w:styleId="TDC9">
    <w:name w:val="toc 9"/>
    <w:basedOn w:val="Normal"/>
    <w:next w:val="Normal"/>
    <w:autoRedefine/>
    <w:uiPriority w:val="39"/>
    <w:unhideWhenUsed/>
    <w:rsid w:val="00C568F6"/>
    <w:pPr>
      <w:ind w:left="1600"/>
    </w:pPr>
    <w:rPr>
      <w:rFonts w:asciiTheme="minorHAnsi" w:hAnsiTheme="minorHAnsi" w:cstheme="minorHAnsi"/>
      <w:sz w:val="18"/>
      <w:szCs w:val="18"/>
    </w:rPr>
  </w:style>
  <w:style w:type="character" w:customStyle="1" w:styleId="Ttulo2Car">
    <w:name w:val="Título 2 Car"/>
    <w:basedOn w:val="Fuentedeprrafopredeter"/>
    <w:link w:val="Ttulo2"/>
    <w:uiPriority w:val="9"/>
    <w:rsid w:val="00690CB0"/>
    <w:rPr>
      <w:rFonts w:ascii="Arial Narrow" w:eastAsia="Arial Narrow" w:hAnsi="Arial Narrow" w:cs="Arial Narrow"/>
      <w:b/>
      <w:position w:val="-1"/>
      <w:sz w:val="20"/>
      <w:szCs w:val="20"/>
      <w:lang w:val="es-ES" w:eastAsia="es-CO"/>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70" w:type="dxa"/>
        <w:right w:w="70"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Refdenotaalpie"/>
    <w:uiPriority w:val="99"/>
    <w:rsid w:val="00716D4C"/>
    <w:pPr>
      <w:overflowPunct/>
      <w:autoSpaceDE/>
      <w:spacing w:before="240" w:after="160" w:line="240" w:lineRule="exact"/>
      <w:ind w:leftChars="0" w:left="0" w:firstLineChars="0" w:firstLine="0"/>
      <w:jc w:val="both"/>
      <w:textDirection w:val="lrTb"/>
      <w:textAlignment w:val="auto"/>
      <w:outlineLvl w:val="9"/>
    </w:pPr>
    <w:rPr>
      <w:position w:val="0"/>
      <w:vertAlign w:val="superscript"/>
      <w:lang w:eastAsia="es-CO"/>
    </w:rPr>
  </w:style>
  <w:style w:type="paragraph" w:styleId="Revisin">
    <w:name w:val="Revision"/>
    <w:hidden/>
    <w:uiPriority w:val="99"/>
    <w:semiHidden/>
    <w:rsid w:val="00B33136"/>
    <w:pPr>
      <w:ind w:firstLine="0"/>
    </w:pPr>
    <w:rPr>
      <w:position w:val="-1"/>
      <w:lang w:eastAsia="ar-SA"/>
    </w:rPr>
  </w:style>
  <w:style w:type="table" w:customStyle="1" w:styleId="aa">
    <w:basedOn w:val="TableNormal1"/>
    <w:tblPr>
      <w:tblStyleRowBandSize w:val="1"/>
      <w:tblStyleColBandSize w:val="1"/>
      <w:tblCellMar>
        <w:left w:w="70" w:type="dxa"/>
        <w:right w:w="70" w:type="dxa"/>
      </w:tblCellMar>
    </w:tblPr>
  </w:style>
  <w:style w:type="table" w:customStyle="1" w:styleId="ab">
    <w:basedOn w:val="TableNormal1"/>
    <w:tblPr>
      <w:tblStyleRowBandSize w:val="1"/>
      <w:tblStyleColBandSize w:val="1"/>
      <w:tblCellMar>
        <w:top w:w="100" w:type="dxa"/>
        <w:left w:w="115" w:type="dxa"/>
        <w:bottom w:w="100" w:type="dxa"/>
        <w:right w:w="115" w:type="dxa"/>
      </w:tblCellMar>
    </w:tblPr>
  </w:style>
  <w:style w:type="table" w:customStyle="1" w:styleId="ac">
    <w:basedOn w:val="TableNormal1"/>
    <w:tblPr>
      <w:tblStyleRowBandSize w:val="1"/>
      <w:tblStyleColBandSize w:val="1"/>
      <w:tblCellMar>
        <w:top w:w="100" w:type="dxa"/>
        <w:left w:w="115" w:type="dxa"/>
        <w:bottom w:w="100" w:type="dxa"/>
        <w:right w:w="115" w:type="dxa"/>
      </w:tblCellMar>
    </w:tblPr>
  </w:style>
  <w:style w:type="table" w:customStyle="1" w:styleId="ad">
    <w:basedOn w:val="TableNormal1"/>
    <w:tblPr>
      <w:tblStyleRowBandSize w:val="1"/>
      <w:tblStyleColBandSize w:val="1"/>
      <w:tblCellMar>
        <w:top w:w="100" w:type="dxa"/>
        <w:left w:w="115" w:type="dxa"/>
        <w:bottom w:w="100" w:type="dxa"/>
        <w:right w:w="115" w:type="dxa"/>
      </w:tblCellMar>
    </w:tblPr>
  </w:style>
  <w:style w:type="table" w:customStyle="1" w:styleId="ae">
    <w:basedOn w:val="TableNormal1"/>
    <w:tblPr>
      <w:tblStyleRowBandSize w:val="1"/>
      <w:tblStyleColBandSize w:val="1"/>
      <w:tblCellMar>
        <w:top w:w="100" w:type="dxa"/>
        <w:left w:w="115" w:type="dxa"/>
        <w:bottom w:w="100" w:type="dxa"/>
        <w:right w:w="115" w:type="dxa"/>
      </w:tblCellMar>
    </w:tblPr>
  </w:style>
  <w:style w:type="table" w:customStyle="1" w:styleId="af">
    <w:basedOn w:val="TableNormal1"/>
    <w:tblPr>
      <w:tblStyleRowBandSize w:val="1"/>
      <w:tblStyleColBandSize w:val="1"/>
      <w:tblCellMar>
        <w:top w:w="100" w:type="dxa"/>
        <w:left w:w="115" w:type="dxa"/>
        <w:bottom w:w="100" w:type="dxa"/>
        <w:right w:w="115" w:type="dxa"/>
      </w:tblCellMar>
    </w:tblPr>
  </w:style>
  <w:style w:type="table" w:customStyle="1" w:styleId="af0">
    <w:basedOn w:val="TableNormal1"/>
    <w:tblPr>
      <w:tblStyleRowBandSize w:val="1"/>
      <w:tblStyleColBandSize w:val="1"/>
      <w:tblCellMar>
        <w:top w:w="100" w:type="dxa"/>
        <w:left w:w="115" w:type="dxa"/>
        <w:bottom w:w="100" w:type="dxa"/>
        <w:right w:w="115" w:type="dxa"/>
      </w:tblCellMar>
    </w:tblPr>
  </w:style>
  <w:style w:type="table" w:customStyle="1" w:styleId="af1">
    <w:basedOn w:val="TableNormal1"/>
    <w:tblPr>
      <w:tblStyleRowBandSize w:val="1"/>
      <w:tblStyleColBandSize w:val="1"/>
      <w:tblCellMar>
        <w:top w:w="100" w:type="dxa"/>
        <w:left w:w="115" w:type="dxa"/>
        <w:bottom w:w="100" w:type="dxa"/>
        <w:right w:w="115" w:type="dxa"/>
      </w:tblCellMar>
    </w:tblPr>
  </w:style>
  <w:style w:type="table" w:customStyle="1" w:styleId="af2">
    <w:basedOn w:val="TableNormal1"/>
    <w:tblPr>
      <w:tblStyleRowBandSize w:val="1"/>
      <w:tblStyleColBandSize w:val="1"/>
      <w:tblCellMar>
        <w:top w:w="100" w:type="dxa"/>
        <w:left w:w="115" w:type="dxa"/>
        <w:bottom w:w="100" w:type="dxa"/>
        <w:right w:w="115" w:type="dxa"/>
      </w:tblCellMar>
    </w:tblPr>
  </w:style>
  <w:style w:type="table" w:customStyle="1" w:styleId="af3">
    <w:basedOn w:val="TableNormal1"/>
    <w:tblPr>
      <w:tblStyleRowBandSize w:val="1"/>
      <w:tblStyleColBandSize w:val="1"/>
      <w:tblCellMar>
        <w:top w:w="100" w:type="dxa"/>
        <w:left w:w="115" w:type="dxa"/>
        <w:bottom w:w="100" w:type="dxa"/>
        <w:right w:w="115" w:type="dxa"/>
      </w:tblCellMar>
    </w:tblPr>
  </w:style>
  <w:style w:type="table" w:customStyle="1" w:styleId="af4">
    <w:basedOn w:val="TableNormal1"/>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pnfd6vA1M1WbFrf172bZUPCz3w==">CgMxLjAaIAoBMBIbChkIB0IVCgxBcmlhbCBOYXJyb3cSBUFyaWFsMghoLmdqZGd4czIOaC52OXlyM21zbTk5dDk4AHIhMXhUcncwcTl2WjRqSTAyeEhvQ3E3cGhuUWk1Tl9tci1y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5065</Words>
  <Characters>27859</Characters>
  <Application>Microsoft Office Word</Application>
  <DocSecurity>0</DocSecurity>
  <Lines>232</Lines>
  <Paragraphs>65</Paragraphs>
  <ScaleCrop>false</ScaleCrop>
  <Company/>
  <LinksUpToDate>false</LinksUpToDate>
  <CharactersWithSpaces>32859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Katerine Carrillo Castro</dc:creator>
  <cp:lastModifiedBy>Nidia Esperanza López Torres</cp:lastModifiedBy>
  <cp:revision>3</cp:revision>
  <dcterms:created xsi:type="dcterms:W3CDTF">2024-03-13T05:26:00Z</dcterms:created>
  <dcterms:modified xsi:type="dcterms:W3CDTF">2024-07-05T20:21:00Z</dcterms:modified>
</cp:coreProperties>
</file>